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8F19CD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5459F4">
        <w:rPr>
          <w:rFonts w:asciiTheme="majorHAnsi" w:hAnsiTheme="majorHAnsi"/>
          <w:sz w:val="24"/>
          <w:szCs w:val="24"/>
        </w:rPr>
        <w:t>Airbus S.A.S.</w:t>
      </w:r>
      <w:bookmarkEnd w:id="0"/>
      <w:r w:rsidR="00A01BAD">
        <w:rPr>
          <w:rFonts w:asciiTheme="majorHAnsi" w:hAnsiTheme="majorHAnsi"/>
          <w:sz w:val="24"/>
          <w:szCs w:val="24"/>
        </w:rPr>
        <w:t xml:space="preserve">, </w:t>
      </w:r>
      <w:r w:rsidR="00D33D38">
        <w:rPr>
          <w:rFonts w:asciiTheme="majorHAnsi" w:hAnsiTheme="majorHAnsi"/>
          <w:sz w:val="24"/>
          <w:szCs w:val="24"/>
        </w:rPr>
        <w:t xml:space="preserve">a </w:t>
      </w:r>
      <w:r w:rsidR="005459F4">
        <w:rPr>
          <w:rFonts w:asciiTheme="majorHAnsi" w:hAnsiTheme="majorHAnsi"/>
          <w:sz w:val="24"/>
          <w:szCs w:val="24"/>
        </w:rPr>
        <w:t>company formed under the French Republic</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6B79E3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5459F4">
        <w:rPr>
          <w:rFonts w:asciiTheme="majorHAnsi" w:eastAsia="DFKai-SB" w:hAnsiTheme="majorHAnsi" w:cs="Courier"/>
          <w:b/>
          <w:szCs w:val="24"/>
        </w:rPr>
        <w:t>airbus</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C78E177" w14:textId="26992DCB" w:rsidR="00671917" w:rsidRPr="00FF6BBD" w:rsidRDefault="005332B6" w:rsidP="00671917">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r>
      <w:r w:rsidRPr="00FF6BBD">
        <w:rPr>
          <w:rFonts w:asciiTheme="majorHAnsi" w:hAnsiTheme="majorHAnsi"/>
          <w:sz w:val="24"/>
          <w:szCs w:val="24"/>
        </w:rPr>
        <w:t>If to Registry Operator, addressed to:</w:t>
      </w:r>
      <w:r w:rsidRPr="00FF6BBD">
        <w:rPr>
          <w:rFonts w:asciiTheme="majorHAnsi" w:hAnsiTheme="majorHAnsi"/>
          <w:sz w:val="24"/>
          <w:szCs w:val="24"/>
        </w:rPr>
        <w:br/>
      </w:r>
      <w:r w:rsidR="005459F4" w:rsidRPr="00FF6BBD">
        <w:rPr>
          <w:rFonts w:asciiTheme="majorHAnsi" w:hAnsiTheme="majorHAnsi"/>
          <w:sz w:val="24"/>
          <w:szCs w:val="24"/>
        </w:rPr>
        <w:t>Airbus S.A.S.</w:t>
      </w:r>
      <w:r w:rsidR="009E4E5D" w:rsidRPr="00FF6BBD">
        <w:rPr>
          <w:rFonts w:asciiTheme="majorHAnsi" w:hAnsiTheme="majorHAnsi"/>
          <w:sz w:val="24"/>
          <w:szCs w:val="24"/>
        </w:rPr>
        <w:t xml:space="preserve"> </w:t>
      </w:r>
      <w:r w:rsidR="00671917" w:rsidRPr="00FF6BBD">
        <w:rPr>
          <w:rFonts w:asciiTheme="majorHAnsi" w:hAnsiTheme="majorHAnsi"/>
          <w:sz w:val="24"/>
          <w:szCs w:val="24"/>
        </w:rPr>
        <w:br/>
      </w:r>
      <w:r w:rsidR="00FF6BBD" w:rsidRPr="00FF6BBD">
        <w:rPr>
          <w:rFonts w:asciiTheme="majorHAnsi" w:eastAsia="DFKai-SB" w:hAnsiTheme="majorHAnsi" w:cs="Arial"/>
          <w:color w:val="1A1A1A"/>
          <w:sz w:val="24"/>
          <w:szCs w:val="24"/>
        </w:rPr>
        <w:t>1 rond point Maurice Bellonte</w:t>
      </w:r>
    </w:p>
    <w:p w14:paraId="72E836BD" w14:textId="2A4B5AF6" w:rsidR="00FF6BBD" w:rsidRPr="00FF6BBD" w:rsidRDefault="00FF6BBD" w:rsidP="00117173">
      <w:pPr>
        <w:widowControl w:val="0"/>
        <w:autoSpaceDE w:val="0"/>
        <w:autoSpaceDN w:val="0"/>
        <w:adjustRightInd w:val="0"/>
        <w:ind w:left="720" w:firstLine="720"/>
        <w:rPr>
          <w:rFonts w:asciiTheme="majorHAnsi" w:eastAsia="DFKai-SB" w:hAnsiTheme="majorHAnsi" w:cs="Arial"/>
          <w:sz w:val="24"/>
          <w:szCs w:val="24"/>
        </w:rPr>
      </w:pPr>
      <w:r w:rsidRPr="00FF6BBD">
        <w:rPr>
          <w:rFonts w:asciiTheme="majorHAnsi" w:eastAsia="DFKai-SB" w:hAnsiTheme="majorHAnsi" w:cs="Arial"/>
          <w:color w:val="1A1A1A"/>
          <w:sz w:val="24"/>
          <w:szCs w:val="24"/>
        </w:rPr>
        <w:t>Blagnac</w:t>
      </w:r>
      <w:r w:rsidRPr="00FF6BBD">
        <w:rPr>
          <w:rFonts w:asciiTheme="majorHAnsi" w:eastAsia="DFKai-SB" w:hAnsiTheme="majorHAnsi" w:cs="Arial"/>
          <w:sz w:val="24"/>
          <w:szCs w:val="24"/>
        </w:rPr>
        <w:t xml:space="preserve"> 31700</w:t>
      </w:r>
    </w:p>
    <w:p w14:paraId="5DD56206" w14:textId="674056B5" w:rsidR="00671917" w:rsidRPr="00FF6BBD" w:rsidRDefault="00FF6BBD" w:rsidP="00117173">
      <w:pPr>
        <w:widowControl w:val="0"/>
        <w:autoSpaceDE w:val="0"/>
        <w:autoSpaceDN w:val="0"/>
        <w:adjustRightInd w:val="0"/>
        <w:ind w:left="720" w:firstLine="720"/>
        <w:rPr>
          <w:rFonts w:asciiTheme="majorHAnsi" w:eastAsia="DFKai-SB" w:hAnsiTheme="majorHAnsi" w:cs="Arial"/>
          <w:sz w:val="24"/>
          <w:szCs w:val="24"/>
        </w:rPr>
      </w:pPr>
      <w:r w:rsidRPr="00FF6BBD">
        <w:rPr>
          <w:rFonts w:asciiTheme="majorHAnsi" w:eastAsia="DFKai-SB" w:hAnsiTheme="majorHAnsi" w:cs="Arial"/>
          <w:sz w:val="24"/>
          <w:szCs w:val="24"/>
        </w:rPr>
        <w:t>FR</w:t>
      </w:r>
    </w:p>
    <w:p w14:paraId="5E1E5B4A" w14:textId="740FF146" w:rsidR="00671917" w:rsidRPr="00FF6BBD" w:rsidRDefault="00671917" w:rsidP="00671917">
      <w:pPr>
        <w:pStyle w:val="BodyTextIndent"/>
        <w:spacing w:after="0"/>
        <w:rPr>
          <w:rFonts w:asciiTheme="majorHAnsi" w:eastAsia="DFKai-SB" w:hAnsiTheme="majorHAnsi" w:cs="Arial"/>
          <w:sz w:val="24"/>
          <w:szCs w:val="24"/>
        </w:rPr>
      </w:pPr>
      <w:r w:rsidRPr="00FF6BBD">
        <w:rPr>
          <w:rFonts w:asciiTheme="majorHAnsi" w:hAnsiTheme="majorHAnsi"/>
          <w:sz w:val="24"/>
          <w:szCs w:val="24"/>
        </w:rPr>
        <w:t>Telephone:  +</w:t>
      </w:r>
      <w:r w:rsidRPr="00FF6BBD">
        <w:rPr>
          <w:rFonts w:asciiTheme="majorHAnsi" w:eastAsia="DFKai-SB" w:hAnsiTheme="majorHAnsi" w:cs="Arial"/>
          <w:sz w:val="24"/>
          <w:szCs w:val="24"/>
        </w:rPr>
        <w:t xml:space="preserve"> </w:t>
      </w:r>
      <w:r w:rsidR="00FF6BBD" w:rsidRPr="00FF6BBD">
        <w:rPr>
          <w:rFonts w:asciiTheme="majorHAnsi" w:eastAsia="DFKai-SB" w:hAnsiTheme="majorHAnsi" w:cs="Arial"/>
          <w:color w:val="1A1A1A"/>
          <w:sz w:val="24"/>
          <w:szCs w:val="24"/>
        </w:rPr>
        <w:t>33 6 07 78 88 57</w:t>
      </w:r>
    </w:p>
    <w:p w14:paraId="5A1F682B" w14:textId="5A941EDD" w:rsidR="00197811" w:rsidRPr="00FF6BBD" w:rsidRDefault="00671917" w:rsidP="00671917">
      <w:pPr>
        <w:pStyle w:val="BodyTextIndent"/>
        <w:spacing w:after="0"/>
        <w:rPr>
          <w:rFonts w:asciiTheme="majorHAnsi" w:eastAsia="DFKai-SB" w:hAnsiTheme="majorHAnsi" w:cs="Arial"/>
          <w:color w:val="1A1A1A"/>
          <w:sz w:val="24"/>
          <w:szCs w:val="24"/>
        </w:rPr>
      </w:pPr>
      <w:r w:rsidRPr="00FF6BBD">
        <w:rPr>
          <w:rFonts w:asciiTheme="majorHAnsi" w:hAnsiTheme="majorHAnsi"/>
          <w:sz w:val="24"/>
          <w:szCs w:val="24"/>
        </w:rPr>
        <w:t>Facsimile:  +</w:t>
      </w:r>
      <w:r w:rsidRPr="00FF6BBD">
        <w:rPr>
          <w:rFonts w:asciiTheme="majorHAnsi" w:eastAsia="DFKai-SB" w:hAnsiTheme="majorHAnsi" w:cs="Arial"/>
          <w:sz w:val="24"/>
          <w:szCs w:val="24"/>
        </w:rPr>
        <w:t xml:space="preserve"> </w:t>
      </w:r>
      <w:r w:rsidR="00FF6BBD" w:rsidRPr="00FF6BBD">
        <w:rPr>
          <w:rFonts w:asciiTheme="majorHAnsi" w:eastAsia="DFKai-SB" w:hAnsiTheme="majorHAnsi" w:cs="Arial"/>
          <w:color w:val="1A1A1A"/>
          <w:sz w:val="24"/>
          <w:szCs w:val="24"/>
        </w:rPr>
        <w:t>33 5 61 93 44 52</w:t>
      </w:r>
    </w:p>
    <w:p w14:paraId="6968F051" w14:textId="15D9AE35" w:rsidR="00FF6BBD" w:rsidRPr="00FF6BBD" w:rsidRDefault="00671917" w:rsidP="00FF6BBD">
      <w:pPr>
        <w:pStyle w:val="BodyTextIndent"/>
        <w:spacing w:after="0"/>
        <w:rPr>
          <w:rFonts w:asciiTheme="majorHAnsi" w:hAnsiTheme="majorHAnsi"/>
          <w:sz w:val="24"/>
          <w:szCs w:val="24"/>
        </w:rPr>
      </w:pPr>
      <w:r w:rsidRPr="00FF6BBD">
        <w:rPr>
          <w:rFonts w:asciiTheme="majorHAnsi" w:hAnsiTheme="majorHAnsi"/>
          <w:sz w:val="24"/>
          <w:szCs w:val="24"/>
        </w:rPr>
        <w:t xml:space="preserve">Attention:  </w:t>
      </w:r>
      <w:r w:rsidR="00FF6BBD" w:rsidRPr="00FF6BBD">
        <w:rPr>
          <w:rFonts w:asciiTheme="majorHAnsi" w:eastAsia="DFKai-SB" w:hAnsiTheme="majorHAnsi" w:cs="Arial"/>
          <w:sz w:val="24"/>
          <w:szCs w:val="24"/>
        </w:rPr>
        <w:t>Laurent</w:t>
      </w:r>
      <w:r w:rsidR="00197811" w:rsidRPr="00FF6BBD">
        <w:rPr>
          <w:rFonts w:asciiTheme="majorHAnsi" w:eastAsia="DFKai-SB" w:hAnsiTheme="majorHAnsi" w:cs="Arial"/>
          <w:sz w:val="24"/>
          <w:szCs w:val="24"/>
        </w:rPr>
        <w:t xml:space="preserve"> </w:t>
      </w:r>
      <w:r w:rsidR="00FF6BBD" w:rsidRPr="00FF6BBD">
        <w:rPr>
          <w:rFonts w:asciiTheme="majorHAnsi" w:eastAsia="DFKai-SB" w:hAnsiTheme="majorHAnsi" w:cs="Arial"/>
          <w:color w:val="1A1A1A"/>
          <w:sz w:val="24"/>
          <w:szCs w:val="24"/>
        </w:rPr>
        <w:t>Fradin</w:t>
      </w:r>
      <w:r w:rsidRPr="00FF6BBD">
        <w:rPr>
          <w:rFonts w:asciiTheme="majorHAnsi" w:eastAsia="DFKai-SB" w:hAnsiTheme="majorHAnsi" w:cs="Arial"/>
          <w:sz w:val="24"/>
          <w:szCs w:val="24"/>
        </w:rPr>
        <w:t xml:space="preserve">, </w:t>
      </w:r>
      <w:r w:rsidR="00FF6BBD" w:rsidRPr="00FF6BBD">
        <w:rPr>
          <w:rFonts w:asciiTheme="majorHAnsi" w:eastAsia="DFKai-SB" w:hAnsiTheme="majorHAnsi" w:cs="Arial"/>
          <w:color w:val="1A1A1A"/>
          <w:sz w:val="24"/>
          <w:szCs w:val="24"/>
        </w:rPr>
        <w:t>Head of Web &amp; Images</w:t>
      </w:r>
      <w:r w:rsidR="00FF6BBD" w:rsidRPr="00FF6BBD">
        <w:rPr>
          <w:rFonts w:asciiTheme="majorHAnsi" w:hAnsiTheme="majorHAnsi"/>
          <w:sz w:val="24"/>
          <w:szCs w:val="24"/>
        </w:rPr>
        <w:t xml:space="preserve"> </w:t>
      </w:r>
    </w:p>
    <w:p w14:paraId="247F10E3" w14:textId="79D83A60" w:rsidR="009E4E5D" w:rsidRPr="00FF6BBD" w:rsidRDefault="009E4E5D" w:rsidP="00FF6BBD">
      <w:pPr>
        <w:pStyle w:val="BodyTextIndent"/>
        <w:spacing w:after="0"/>
        <w:rPr>
          <w:rFonts w:asciiTheme="majorHAnsi" w:hAnsiTheme="majorHAnsi"/>
          <w:sz w:val="24"/>
          <w:szCs w:val="24"/>
        </w:rPr>
      </w:pPr>
      <w:r w:rsidRPr="00FF6BBD">
        <w:rPr>
          <w:rFonts w:asciiTheme="majorHAnsi" w:hAnsiTheme="majorHAnsi"/>
          <w:sz w:val="24"/>
          <w:szCs w:val="24"/>
        </w:rPr>
        <w:t xml:space="preserve">Email: </w:t>
      </w:r>
      <w:r w:rsidR="00FF6BBD" w:rsidRPr="00FF6BBD">
        <w:rPr>
          <w:rFonts w:asciiTheme="majorHAnsi" w:eastAsia="DFKai-SB" w:hAnsiTheme="majorHAnsi" w:cs="Arial"/>
          <w:color w:val="1A1A1A"/>
          <w:sz w:val="24"/>
          <w:szCs w:val="24"/>
        </w:rPr>
        <w:t>laurent.l.fradin@airbus.com</w:t>
      </w:r>
    </w:p>
    <w:p w14:paraId="0FE3E02F" w14:textId="5E394296" w:rsidR="004D360F" w:rsidRDefault="004D360F" w:rsidP="009E4E5D">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11B5C2" w14:textId="77777777" w:rsidR="00B44D04" w:rsidRPr="00B44D04" w:rsidRDefault="00B44D04" w:rsidP="00B44D04"/>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CF50B20" w:rsidR="002B5FCB" w:rsidRPr="00B22A9A" w:rsidRDefault="005459F4" w:rsidP="002B5FCB">
      <w:pPr>
        <w:pStyle w:val="BodyText"/>
        <w:rPr>
          <w:rFonts w:asciiTheme="majorHAnsi" w:hAnsiTheme="majorHAnsi"/>
          <w:b/>
          <w:sz w:val="24"/>
          <w:szCs w:val="24"/>
        </w:rPr>
      </w:pPr>
      <w:r>
        <w:rPr>
          <w:rFonts w:asciiTheme="majorHAnsi" w:hAnsiTheme="majorHAnsi"/>
          <w:b/>
          <w:sz w:val="24"/>
          <w:szCs w:val="24"/>
        </w:rPr>
        <w:t>AIRBUS S.A.S.</w:t>
      </w:r>
    </w:p>
    <w:p w14:paraId="40769304" w14:textId="77777777" w:rsidR="00B44D04" w:rsidRDefault="00B44D04" w:rsidP="00FF6BBD">
      <w:pPr>
        <w:pStyle w:val="BodyTextIndent2"/>
        <w:rPr>
          <w:rFonts w:asciiTheme="majorHAnsi" w:hAnsiTheme="majorHAnsi"/>
          <w:sz w:val="24"/>
          <w:szCs w:val="24"/>
        </w:rPr>
      </w:pPr>
    </w:p>
    <w:p w14:paraId="301A6621" w14:textId="4C5A28D5" w:rsidR="00197811" w:rsidRPr="00B44D04" w:rsidRDefault="002B5FCB" w:rsidP="00FF6BBD">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B44D04">
        <w:rPr>
          <w:rFonts w:asciiTheme="majorHAnsi" w:eastAsia="DFKai-SB" w:hAnsiTheme="majorHAnsi" w:cs="Arial"/>
          <w:color w:val="1A1A1A"/>
          <w:sz w:val="24"/>
          <w:szCs w:val="24"/>
        </w:rPr>
        <w:t xml:space="preserve">Marc </w:t>
      </w:r>
      <w:r w:rsidR="00B44D04" w:rsidRPr="00B44D04">
        <w:rPr>
          <w:rFonts w:asciiTheme="majorHAnsi" w:eastAsia="DFKai-SB" w:hAnsiTheme="majorHAnsi" w:cs="Arial"/>
          <w:color w:val="1A1A1A"/>
          <w:sz w:val="24"/>
          <w:szCs w:val="24"/>
        </w:rPr>
        <w:t>Fontaine</w:t>
      </w:r>
    </w:p>
    <w:p w14:paraId="5D5585C6" w14:textId="7006EF02" w:rsidR="00115B11" w:rsidRPr="00B44D04" w:rsidRDefault="00FF6BBD">
      <w:pPr>
        <w:pStyle w:val="BodyTextIndent2"/>
        <w:rPr>
          <w:rFonts w:asciiTheme="majorHAnsi" w:hAnsiTheme="majorHAnsi"/>
          <w:sz w:val="24"/>
          <w:szCs w:val="24"/>
        </w:rPr>
        <w:sectPr w:rsidR="00115B11" w:rsidRPr="00B44D04">
          <w:headerReference w:type="first" r:id="rId13"/>
          <w:footerReference w:type="first" r:id="rId14"/>
          <w:pgSz w:w="12240" w:h="15840" w:code="1"/>
          <w:pgMar w:top="1440" w:right="1440" w:bottom="1440" w:left="1440" w:header="720" w:footer="720" w:gutter="0"/>
          <w:cols w:space="720"/>
          <w:formProt w:val="0"/>
          <w:titlePg/>
          <w:docGrid w:linePitch="360"/>
        </w:sectPr>
      </w:pPr>
      <w:r w:rsidRPr="00B44D04">
        <w:rPr>
          <w:rFonts w:asciiTheme="majorHAnsi" w:eastAsia="DFKai-SB" w:hAnsiTheme="majorHAnsi" w:cs="Arial"/>
          <w:color w:val="1A1A1A"/>
          <w:sz w:val="24"/>
          <w:szCs w:val="24"/>
        </w:rPr>
        <w:tab/>
      </w:r>
      <w:r w:rsidR="00B44D04" w:rsidRPr="00B44D04">
        <w:rPr>
          <w:rFonts w:asciiTheme="majorHAnsi" w:eastAsia="DFKai-SB" w:hAnsiTheme="majorHAnsi" w:cs="Arial"/>
          <w:color w:val="1A1A1A"/>
          <w:sz w:val="24"/>
          <w:szCs w:val="24"/>
        </w:rPr>
        <w:t>Corporate Secretary &amp; Chief of Staff of the CEO</w:t>
      </w: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A1D811D" w14:textId="77777777" w:rsidR="00386A1D" w:rsidRPr="007219B2" w:rsidRDefault="00386A1D" w:rsidP="00386A1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8EF10B9" w14:textId="77777777" w:rsidR="00386A1D" w:rsidRPr="007219B2" w:rsidRDefault="00386A1D" w:rsidP="00386A1D">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6616538" w14:textId="77777777" w:rsidR="00386A1D" w:rsidRPr="007219B2" w:rsidRDefault="00386A1D" w:rsidP="00386A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174F148" w14:textId="77777777" w:rsidR="00386A1D" w:rsidRPr="007219B2" w:rsidRDefault="00386A1D" w:rsidP="00386A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E592C21" w14:textId="77777777" w:rsidR="00386A1D" w:rsidRPr="007219B2" w:rsidRDefault="00386A1D" w:rsidP="00386A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DFEA0B8" w14:textId="77777777" w:rsidR="00386A1D" w:rsidRPr="007219B2" w:rsidRDefault="00386A1D" w:rsidP="00386A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C686531" w14:textId="77777777" w:rsidR="00386A1D" w:rsidRPr="007219B2" w:rsidRDefault="00386A1D" w:rsidP="00386A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BFF0B67" w14:textId="77777777" w:rsidR="00386A1D" w:rsidRPr="007219B2" w:rsidRDefault="00386A1D" w:rsidP="00386A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26538FA" w14:textId="77777777" w:rsidR="00386A1D" w:rsidRPr="007219B2" w:rsidRDefault="00386A1D" w:rsidP="00386A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0477808" w14:textId="77777777" w:rsidR="00386A1D" w:rsidRPr="007219B2" w:rsidRDefault="00386A1D" w:rsidP="00386A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0D4A0FF" w14:textId="77777777" w:rsidR="00386A1D" w:rsidRDefault="00386A1D" w:rsidP="00386A1D">
      <w:pPr>
        <w:numPr>
          <w:ilvl w:val="0"/>
          <w:numId w:val="17"/>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58314B86" w14:textId="77777777" w:rsidR="00386A1D" w:rsidRPr="004855F7" w:rsidRDefault="00386A1D" w:rsidP="00386A1D">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762B3B4D" w14:textId="77777777" w:rsidR="00386A1D" w:rsidRPr="004A4A05" w:rsidRDefault="00386A1D" w:rsidP="00386A1D">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38F0131" w14:textId="77777777" w:rsidR="00386A1D" w:rsidRPr="004A4A05" w:rsidRDefault="00386A1D" w:rsidP="00386A1D">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502D9755" w14:textId="77777777" w:rsidR="00386A1D" w:rsidRPr="00983BFF" w:rsidRDefault="00386A1D" w:rsidP="00386A1D">
      <w:pPr>
        <w:numPr>
          <w:ilvl w:val="0"/>
          <w:numId w:val="17"/>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00136C54" w14:textId="77777777" w:rsidR="00386A1D" w:rsidRPr="00983BFF" w:rsidRDefault="00386A1D" w:rsidP="00386A1D">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42F7AD5" w14:textId="77777777" w:rsidR="00386A1D" w:rsidRPr="00983BFF" w:rsidRDefault="00386A1D" w:rsidP="00386A1D">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2C87E638" w14:textId="77777777" w:rsidR="00386A1D" w:rsidRPr="00983BFF" w:rsidRDefault="00386A1D" w:rsidP="00386A1D">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7497B33F" w14:textId="77777777" w:rsidR="00386A1D" w:rsidRPr="007219B2" w:rsidRDefault="00386A1D" w:rsidP="00386A1D">
      <w:pPr>
        <w:numPr>
          <w:ilvl w:val="2"/>
          <w:numId w:val="17"/>
        </w:numPr>
        <w:spacing w:after="200"/>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7AC47BC2" w14:textId="77777777" w:rsidR="00386A1D" w:rsidRPr="00983BFF" w:rsidRDefault="00386A1D" w:rsidP="00386A1D">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ECCB5B0" w14:textId="77777777" w:rsidR="00386A1D" w:rsidRDefault="00386A1D" w:rsidP="00386A1D">
      <w:pPr>
        <w:numPr>
          <w:ilvl w:val="2"/>
          <w:numId w:val="2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Arabic script</w:t>
      </w:r>
    </w:p>
    <w:p w14:paraId="6E6316A6" w14:textId="77777777" w:rsidR="00386A1D" w:rsidRDefault="00386A1D" w:rsidP="00386A1D">
      <w:pPr>
        <w:numPr>
          <w:ilvl w:val="2"/>
          <w:numId w:val="22"/>
        </w:numPr>
        <w:spacing w:after="200"/>
        <w:rPr>
          <w:rFonts w:ascii="Cambria" w:eastAsia="Arial" w:hAnsi="Cambria" w:cs="Arial"/>
          <w:color w:val="000000"/>
          <w:szCs w:val="22"/>
          <w:lang w:eastAsia="ja-JP"/>
        </w:rPr>
      </w:pPr>
      <w:r w:rsidRPr="00274B7A">
        <w:rPr>
          <w:rFonts w:ascii="Cambria" w:eastAsia="Arial" w:hAnsi="Cambria" w:cs="Arial"/>
          <w:color w:val="000000"/>
          <w:szCs w:val="22"/>
          <w:lang w:eastAsia="ja-JP"/>
        </w:rPr>
        <w:t>Russian</w:t>
      </w:r>
      <w:r>
        <w:rPr>
          <w:rFonts w:ascii="Cambria" w:eastAsia="Arial" w:hAnsi="Cambria" w:cs="Arial"/>
          <w:color w:val="000000"/>
          <w:szCs w:val="22"/>
          <w:lang w:eastAsia="ja-JP"/>
        </w:rPr>
        <w:t xml:space="preserve"> language</w:t>
      </w:r>
    </w:p>
    <w:p w14:paraId="6A68C5DA" w14:textId="77777777" w:rsidR="00386A1D" w:rsidRDefault="00386A1D" w:rsidP="00386A1D">
      <w:pPr>
        <w:numPr>
          <w:ilvl w:val="2"/>
          <w:numId w:val="2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507B3D99" w14:textId="77777777" w:rsidR="00386A1D" w:rsidRPr="00E77B9F" w:rsidRDefault="00386A1D" w:rsidP="00386A1D">
      <w:pPr>
        <w:numPr>
          <w:ilvl w:val="2"/>
          <w:numId w:val="2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Han script</w:t>
      </w:r>
    </w:p>
    <w:p w14:paraId="22F6E4A9" w14:textId="77777777" w:rsidR="00386A1D" w:rsidRPr="00012E98" w:rsidRDefault="00386A1D" w:rsidP="00386A1D">
      <w:pPr>
        <w:spacing w:after="200"/>
        <w:ind w:left="360"/>
        <w:rPr>
          <w:rFonts w:asciiTheme="minorHAnsi" w:eastAsia="Arial" w:hAnsiTheme="minorHAnsi"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A795BFB"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EA778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A778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EA778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A778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A778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A778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EA778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A778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A778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EA778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EA778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A778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A778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130B" w14:textId="77777777" w:rsidR="00EA7785" w:rsidRDefault="00EA77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3C4D0" w14:textId="77777777" w:rsidR="00EA7785" w:rsidRDefault="00EA7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66F5E" w14:textId="77777777" w:rsidR="00EA7785" w:rsidRDefault="00EA77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3C61199E"/>
    <w:multiLevelType w:val="hybridMultilevel"/>
    <w:tmpl w:val="DA76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9"/>
  </w:num>
  <w:num w:numId="19">
    <w:abstractNumId w:val="15"/>
  </w:num>
  <w:num w:numId="20">
    <w:abstractNumId w:val="16"/>
  </w:num>
  <w:num w:numId="21">
    <w:abstractNumId w:val="14"/>
  </w:num>
  <w:num w:numId="22">
    <w:abstractNumId w:val="17"/>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7w9M09sSmnbUXBqO5z0HND1iMujLazbNfUHh14zwt0ZpA55h6PjmKlPYQDW47+E9Nk2k8ZdZ+mWTKP92ZN+7uQ==" w:salt="dNYca5adJSz5rJtgBDFin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811"/>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72008"/>
    <w:rsid w:val="00386A1D"/>
    <w:rsid w:val="0039685F"/>
    <w:rsid w:val="003A582D"/>
    <w:rsid w:val="003B0E20"/>
    <w:rsid w:val="003E6F6B"/>
    <w:rsid w:val="003F1ECD"/>
    <w:rsid w:val="00407C25"/>
    <w:rsid w:val="00410C40"/>
    <w:rsid w:val="0041271D"/>
    <w:rsid w:val="00416BCB"/>
    <w:rsid w:val="00442E65"/>
    <w:rsid w:val="004520B6"/>
    <w:rsid w:val="0046082C"/>
    <w:rsid w:val="00460FC4"/>
    <w:rsid w:val="00467F92"/>
    <w:rsid w:val="00471390"/>
    <w:rsid w:val="00484BC6"/>
    <w:rsid w:val="004859DD"/>
    <w:rsid w:val="004A7991"/>
    <w:rsid w:val="004D3240"/>
    <w:rsid w:val="004D360F"/>
    <w:rsid w:val="005229EC"/>
    <w:rsid w:val="00526456"/>
    <w:rsid w:val="00526B4C"/>
    <w:rsid w:val="005332B6"/>
    <w:rsid w:val="005459F4"/>
    <w:rsid w:val="00547442"/>
    <w:rsid w:val="0055521A"/>
    <w:rsid w:val="005A761E"/>
    <w:rsid w:val="005B6DAB"/>
    <w:rsid w:val="005D22B9"/>
    <w:rsid w:val="005D4FE5"/>
    <w:rsid w:val="005D6885"/>
    <w:rsid w:val="00614ECA"/>
    <w:rsid w:val="00616306"/>
    <w:rsid w:val="006251CC"/>
    <w:rsid w:val="00633FAB"/>
    <w:rsid w:val="0067093F"/>
    <w:rsid w:val="00671917"/>
    <w:rsid w:val="0069064E"/>
    <w:rsid w:val="006C0782"/>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C6A43"/>
    <w:rsid w:val="00AD721C"/>
    <w:rsid w:val="00AF2699"/>
    <w:rsid w:val="00AF5B34"/>
    <w:rsid w:val="00AF5BFD"/>
    <w:rsid w:val="00AF6DD8"/>
    <w:rsid w:val="00B00719"/>
    <w:rsid w:val="00B12A70"/>
    <w:rsid w:val="00B17B03"/>
    <w:rsid w:val="00B2268F"/>
    <w:rsid w:val="00B22A9A"/>
    <w:rsid w:val="00B417B2"/>
    <w:rsid w:val="00B41C57"/>
    <w:rsid w:val="00B44D04"/>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80635"/>
    <w:rsid w:val="00C94836"/>
    <w:rsid w:val="00CA08B6"/>
    <w:rsid w:val="00CD00E4"/>
    <w:rsid w:val="00CE2F5A"/>
    <w:rsid w:val="00D33D38"/>
    <w:rsid w:val="00D5169A"/>
    <w:rsid w:val="00D6646D"/>
    <w:rsid w:val="00D92F97"/>
    <w:rsid w:val="00D96E5B"/>
    <w:rsid w:val="00DC4638"/>
    <w:rsid w:val="00DC4F22"/>
    <w:rsid w:val="00DF4B03"/>
    <w:rsid w:val="00DF6C9B"/>
    <w:rsid w:val="00E10DB6"/>
    <w:rsid w:val="00E17C76"/>
    <w:rsid w:val="00E27275"/>
    <w:rsid w:val="00E3028A"/>
    <w:rsid w:val="00E30A08"/>
    <w:rsid w:val="00E479FA"/>
    <w:rsid w:val="00E62E3A"/>
    <w:rsid w:val="00E70B88"/>
    <w:rsid w:val="00E71833"/>
    <w:rsid w:val="00E746BC"/>
    <w:rsid w:val="00E86CA2"/>
    <w:rsid w:val="00EA7785"/>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 w:val="00FF6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029B18-DBA6-4B62-83A0-9FC917DF61F8}"/>
</file>

<file path=customXml/itemProps2.xml><?xml version="1.0" encoding="utf-8"?>
<ds:datastoreItem xmlns:ds="http://schemas.openxmlformats.org/officeDocument/2006/customXml" ds:itemID="{81539F2D-9C32-4318-B949-E1E41B9F966F}"/>
</file>

<file path=customXml/itemProps3.xml><?xml version="1.0" encoding="utf-8"?>
<ds:datastoreItem xmlns:ds="http://schemas.openxmlformats.org/officeDocument/2006/customXml" ds:itemID="{35C4FA58-0725-4BD2-ACBA-A4070EE481D3}"/>
</file>

<file path=docProps/app.xml><?xml version="1.0" encoding="utf-8"?>
<Properties xmlns="http://schemas.openxmlformats.org/officeDocument/2006/extended-properties" xmlns:vt="http://schemas.openxmlformats.org/officeDocument/2006/docPropsVTypes">
  <Template>Normal</Template>
  <TotalTime>0</TotalTime>
  <Pages>89</Pages>
  <Words>32925</Words>
  <Characters>187674</Characters>
  <Application>Microsoft Office Word</Application>
  <DocSecurity>8</DocSecurity>
  <Lines>1563</Lines>
  <Paragraphs>440</Paragraphs>
  <ScaleCrop>false</ScaleCrop>
  <Manager/>
  <Company/>
  <LinksUpToDate>false</LinksUpToDate>
  <CharactersWithSpaces>220159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2015-07-08T17:39:00Z</dcterms:created>
  <dcterms:modified xsi:type="dcterms:W3CDTF">2015-07-08T17:39:00Z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