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C17D39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E01E06">
        <w:rPr>
          <w:rFonts w:asciiTheme="majorHAnsi" w:hAnsiTheme="majorHAnsi"/>
          <w:sz w:val="24"/>
          <w:szCs w:val="24"/>
        </w:rPr>
        <w:t>CFA Institute</w:t>
      </w:r>
      <w:r w:rsidR="00A01BAD">
        <w:rPr>
          <w:rFonts w:asciiTheme="majorHAnsi" w:hAnsiTheme="majorHAnsi"/>
          <w:sz w:val="24"/>
          <w:szCs w:val="24"/>
        </w:rPr>
        <w:t xml:space="preserve">, </w:t>
      </w:r>
      <w:r w:rsidR="00E01E06">
        <w:rPr>
          <w:rFonts w:asciiTheme="majorHAnsi" w:hAnsiTheme="majorHAnsi"/>
          <w:sz w:val="24"/>
          <w:szCs w:val="24"/>
        </w:rPr>
        <w:t xml:space="preserve">a Virginia non-stock </w:t>
      </w:r>
      <w:r w:rsidR="00423DD1">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2753D2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E01E06">
        <w:rPr>
          <w:rFonts w:asciiTheme="majorHAnsi" w:hAnsiTheme="majorHAnsi"/>
          <w:b/>
          <w:szCs w:val="24"/>
        </w:rPr>
        <w:t>cfa</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5D6F8ADF" w:rsidR="005229EC" w:rsidRPr="00384A44" w:rsidRDefault="005332B6" w:rsidP="00384A44">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384A44">
        <w:rPr>
          <w:rFonts w:asciiTheme="majorHAnsi" w:hAnsiTheme="majorHAnsi"/>
          <w:sz w:val="24"/>
          <w:szCs w:val="24"/>
        </w:rPr>
        <w:t>If to Registry Operator, addressed to:</w:t>
      </w:r>
      <w:r w:rsidRPr="00384A44">
        <w:rPr>
          <w:rFonts w:asciiTheme="majorHAnsi" w:hAnsiTheme="majorHAnsi"/>
          <w:sz w:val="24"/>
          <w:szCs w:val="24"/>
        </w:rPr>
        <w:br/>
      </w:r>
      <w:r w:rsidR="00E01E06" w:rsidRPr="00384A44">
        <w:rPr>
          <w:rFonts w:asciiTheme="majorHAnsi" w:hAnsiTheme="majorHAnsi"/>
          <w:sz w:val="24"/>
          <w:szCs w:val="24"/>
        </w:rPr>
        <w:t>CFA Institute</w:t>
      </w:r>
      <w:r w:rsidR="00384A44" w:rsidRPr="00384A44">
        <w:rPr>
          <w:rFonts w:asciiTheme="majorHAnsi" w:hAnsiTheme="majorHAnsi"/>
          <w:sz w:val="24"/>
          <w:szCs w:val="24"/>
        </w:rPr>
        <w:t xml:space="preserve"> </w:t>
      </w:r>
      <w:r w:rsidRPr="00384A44">
        <w:rPr>
          <w:rFonts w:asciiTheme="majorHAnsi" w:hAnsiTheme="majorHAnsi"/>
          <w:sz w:val="24"/>
          <w:szCs w:val="24"/>
        </w:rPr>
        <w:br/>
      </w:r>
      <w:r w:rsidR="00384A44" w:rsidRPr="00384A44">
        <w:rPr>
          <w:rFonts w:asciiTheme="majorHAnsi" w:eastAsia="DFKai-SB" w:hAnsiTheme="majorHAnsi" w:cs="Arial"/>
          <w:sz w:val="24"/>
          <w:szCs w:val="24"/>
        </w:rPr>
        <w:t>915 E. High Street</w:t>
      </w:r>
    </w:p>
    <w:p w14:paraId="0F235752" w14:textId="06B731C8" w:rsidR="008E2675" w:rsidRPr="00384A44" w:rsidRDefault="00384A44" w:rsidP="00E47529">
      <w:pPr>
        <w:widowControl w:val="0"/>
        <w:autoSpaceDE w:val="0"/>
        <w:autoSpaceDN w:val="0"/>
        <w:adjustRightInd w:val="0"/>
        <w:ind w:left="1440"/>
        <w:rPr>
          <w:rFonts w:asciiTheme="majorHAnsi" w:eastAsia="DFKai-SB" w:hAnsiTheme="majorHAnsi" w:cs="Arial"/>
          <w:sz w:val="24"/>
          <w:szCs w:val="24"/>
        </w:rPr>
      </w:pPr>
      <w:r w:rsidRPr="00384A44">
        <w:rPr>
          <w:rFonts w:asciiTheme="majorHAnsi" w:eastAsia="DFKai-SB" w:hAnsiTheme="majorHAnsi" w:cs="Arial"/>
          <w:sz w:val="24"/>
          <w:szCs w:val="24"/>
        </w:rPr>
        <w:t>Charlottesville, VA 22902</w:t>
      </w:r>
    </w:p>
    <w:p w14:paraId="25C106E0" w14:textId="31B2C1E0" w:rsidR="0046082C" w:rsidRPr="00384A44" w:rsidRDefault="008E2675" w:rsidP="00E47529">
      <w:pPr>
        <w:widowControl w:val="0"/>
        <w:autoSpaceDE w:val="0"/>
        <w:autoSpaceDN w:val="0"/>
        <w:adjustRightInd w:val="0"/>
        <w:ind w:left="1440"/>
        <w:rPr>
          <w:rFonts w:asciiTheme="majorHAnsi" w:eastAsia="DFKai-SB" w:hAnsiTheme="majorHAnsi" w:cs="Arial"/>
          <w:sz w:val="24"/>
          <w:szCs w:val="24"/>
        </w:rPr>
      </w:pPr>
      <w:r w:rsidRPr="00384A44">
        <w:rPr>
          <w:rFonts w:asciiTheme="majorHAnsi" w:eastAsia="DFKai-SB" w:hAnsiTheme="majorHAnsi" w:cs="Arial"/>
          <w:sz w:val="24"/>
          <w:szCs w:val="24"/>
        </w:rPr>
        <w:t>USA</w:t>
      </w:r>
    </w:p>
    <w:p w14:paraId="3FB61949" w14:textId="6AA46015" w:rsidR="00554168" w:rsidRPr="00384A44" w:rsidRDefault="005332B6">
      <w:pPr>
        <w:pStyle w:val="BodyTextIndent"/>
        <w:spacing w:after="0"/>
        <w:rPr>
          <w:rFonts w:asciiTheme="majorHAnsi" w:eastAsia="DFKai-SB" w:hAnsiTheme="majorHAnsi" w:cs="Arial"/>
          <w:sz w:val="24"/>
          <w:szCs w:val="24"/>
        </w:rPr>
      </w:pPr>
      <w:r w:rsidRPr="00384A44">
        <w:rPr>
          <w:rFonts w:asciiTheme="majorHAnsi" w:hAnsiTheme="majorHAnsi"/>
          <w:sz w:val="24"/>
          <w:szCs w:val="24"/>
        </w:rPr>
        <w:t xml:space="preserve">Telephone:  </w:t>
      </w:r>
      <w:r w:rsidR="003248F3" w:rsidRPr="00384A44">
        <w:rPr>
          <w:rFonts w:asciiTheme="majorHAnsi" w:hAnsiTheme="majorHAnsi"/>
          <w:sz w:val="24"/>
          <w:szCs w:val="24"/>
        </w:rPr>
        <w:t>+</w:t>
      </w:r>
      <w:r w:rsidR="00384A44" w:rsidRPr="00384A44">
        <w:rPr>
          <w:rFonts w:asciiTheme="majorHAnsi" w:eastAsia="DFKai-SB" w:hAnsiTheme="majorHAnsi" w:cs="Arial"/>
          <w:sz w:val="24"/>
          <w:szCs w:val="24"/>
        </w:rPr>
        <w:t>1-434-220-5799</w:t>
      </w:r>
    </w:p>
    <w:p w14:paraId="223E1122" w14:textId="7BD1F37D" w:rsidR="00115B11" w:rsidRPr="00384A44" w:rsidRDefault="005332B6">
      <w:pPr>
        <w:pStyle w:val="BodyTextIndent"/>
        <w:spacing w:after="0"/>
        <w:rPr>
          <w:rFonts w:asciiTheme="majorHAnsi" w:hAnsiTheme="majorHAnsi"/>
          <w:sz w:val="24"/>
          <w:szCs w:val="24"/>
        </w:rPr>
      </w:pPr>
      <w:r w:rsidRPr="00384A44">
        <w:rPr>
          <w:rFonts w:asciiTheme="majorHAnsi" w:hAnsiTheme="majorHAnsi"/>
          <w:sz w:val="24"/>
          <w:szCs w:val="24"/>
        </w:rPr>
        <w:t xml:space="preserve">Attention:  </w:t>
      </w:r>
      <w:r w:rsidR="00384A44" w:rsidRPr="00384A44">
        <w:rPr>
          <w:rFonts w:asciiTheme="majorHAnsi" w:eastAsia="DFKai-SB" w:hAnsiTheme="majorHAnsi" w:cs="Arial"/>
          <w:sz w:val="24"/>
          <w:szCs w:val="24"/>
        </w:rPr>
        <w:t>Elaine Cheng</w:t>
      </w:r>
      <w:r w:rsidR="008E2675" w:rsidRPr="00384A44">
        <w:rPr>
          <w:rFonts w:asciiTheme="majorHAnsi" w:eastAsia="DFKai-SB" w:hAnsiTheme="majorHAnsi" w:cs="Arial"/>
          <w:sz w:val="24"/>
          <w:szCs w:val="24"/>
        </w:rPr>
        <w:t xml:space="preserve">, </w:t>
      </w:r>
      <w:r w:rsidR="00384A44" w:rsidRPr="00384A44">
        <w:rPr>
          <w:rFonts w:asciiTheme="majorHAnsi" w:eastAsia="DFKai-SB" w:hAnsiTheme="majorHAnsi" w:cs="Arial"/>
          <w:sz w:val="24"/>
          <w:szCs w:val="24"/>
        </w:rPr>
        <w:t>Managing Director, Strategic Products &amp; Technology</w:t>
      </w:r>
    </w:p>
    <w:p w14:paraId="42241A9F" w14:textId="46E72997" w:rsidR="00115B11" w:rsidRPr="00384A44" w:rsidRDefault="005332B6">
      <w:pPr>
        <w:pStyle w:val="BodyTextIndent"/>
        <w:rPr>
          <w:rFonts w:asciiTheme="majorHAnsi" w:hAnsiTheme="majorHAnsi"/>
          <w:sz w:val="24"/>
          <w:szCs w:val="24"/>
        </w:rPr>
      </w:pPr>
      <w:r w:rsidRPr="00384A44">
        <w:rPr>
          <w:rFonts w:asciiTheme="majorHAnsi" w:hAnsiTheme="majorHAnsi"/>
          <w:sz w:val="24"/>
          <w:szCs w:val="24"/>
        </w:rPr>
        <w:t xml:space="preserve">Email: </w:t>
      </w:r>
      <w:r w:rsidR="00384A44" w:rsidRPr="00384A44">
        <w:rPr>
          <w:rFonts w:asciiTheme="majorHAnsi" w:eastAsia="DFKai-SB" w:hAnsiTheme="majorHAnsi" w:cs="Arial"/>
          <w:sz w:val="24"/>
          <w:szCs w:val="24"/>
        </w:rPr>
        <w:t>elaine.cheng@cfainstitute.org</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111D8E6C" w:rsidR="00115B11" w:rsidRPr="00E01E06" w:rsidRDefault="00E01E06">
      <w:pPr>
        <w:pStyle w:val="BodyText"/>
        <w:rPr>
          <w:rFonts w:asciiTheme="majorHAnsi" w:hAnsiTheme="majorHAnsi"/>
          <w:b/>
          <w:sz w:val="24"/>
          <w:szCs w:val="24"/>
        </w:rPr>
      </w:pPr>
      <w:r w:rsidRPr="00E01E06">
        <w:rPr>
          <w:rFonts w:asciiTheme="majorHAnsi" w:hAnsiTheme="majorHAnsi"/>
          <w:b/>
          <w:sz w:val="24"/>
          <w:szCs w:val="24"/>
        </w:rPr>
        <w:t>CFA INSTITUTE</w:t>
      </w:r>
    </w:p>
    <w:p w14:paraId="2756712E" w14:textId="0EAFF7AC" w:rsidR="00AE74CB" w:rsidRPr="00E01E06" w:rsidRDefault="005332B6" w:rsidP="00AE74CB">
      <w:pPr>
        <w:pStyle w:val="BodyTextIndent2"/>
        <w:rPr>
          <w:rFonts w:asciiTheme="majorHAnsi" w:hAnsiTheme="majorHAnsi"/>
          <w:sz w:val="24"/>
          <w:szCs w:val="24"/>
        </w:rPr>
      </w:pPr>
      <w:r w:rsidRPr="00E01E06">
        <w:rPr>
          <w:rFonts w:asciiTheme="majorHAnsi" w:hAnsiTheme="majorHAnsi"/>
          <w:sz w:val="24"/>
          <w:szCs w:val="24"/>
        </w:rPr>
        <w:t>By:</w:t>
      </w:r>
      <w:r w:rsidRPr="00E01E06">
        <w:rPr>
          <w:rFonts w:asciiTheme="majorHAnsi" w:hAnsiTheme="majorHAnsi"/>
          <w:sz w:val="24"/>
          <w:szCs w:val="24"/>
        </w:rPr>
        <w:tab/>
        <w:t>_____________________________</w:t>
      </w:r>
      <w:r w:rsidRPr="00E01E06">
        <w:rPr>
          <w:rFonts w:asciiTheme="majorHAnsi" w:hAnsiTheme="majorHAnsi"/>
          <w:sz w:val="24"/>
          <w:szCs w:val="24"/>
        </w:rPr>
        <w:br/>
      </w:r>
      <w:r w:rsidRPr="00E01E06">
        <w:rPr>
          <w:rFonts w:asciiTheme="majorHAnsi" w:hAnsiTheme="majorHAnsi"/>
          <w:sz w:val="24"/>
          <w:szCs w:val="24"/>
        </w:rPr>
        <w:tab/>
      </w:r>
      <w:r w:rsidR="00E01E06" w:rsidRPr="00E01E06">
        <w:rPr>
          <w:rFonts w:asciiTheme="majorHAnsi" w:eastAsia="DFKai-SB" w:hAnsiTheme="majorHAnsi" w:cs="Arial"/>
          <w:sz w:val="24"/>
          <w:szCs w:val="24"/>
        </w:rPr>
        <w:t>Elaine Cheng</w:t>
      </w:r>
    </w:p>
    <w:p w14:paraId="291A593F" w14:textId="53F776A4" w:rsidR="00115B11" w:rsidRPr="00E01E06" w:rsidRDefault="00C54B6B" w:rsidP="00AE74CB">
      <w:pPr>
        <w:pStyle w:val="BodyTextIndent2"/>
        <w:rPr>
          <w:rFonts w:asciiTheme="majorHAnsi" w:hAnsiTheme="majorHAnsi"/>
          <w:sz w:val="24"/>
          <w:szCs w:val="24"/>
        </w:rPr>
      </w:pPr>
      <w:r w:rsidRPr="00E01E06">
        <w:rPr>
          <w:rFonts w:asciiTheme="majorHAnsi" w:hAnsiTheme="majorHAnsi"/>
          <w:sz w:val="24"/>
          <w:szCs w:val="24"/>
        </w:rPr>
        <w:tab/>
      </w:r>
      <w:r w:rsidR="00E01E06" w:rsidRPr="00E01E06">
        <w:rPr>
          <w:rFonts w:asciiTheme="majorHAnsi" w:eastAsia="DFKai-SB" w:hAnsiTheme="majorHAnsi" w:cs="Arial"/>
          <w:sz w:val="24"/>
          <w:szCs w:val="24"/>
        </w:rPr>
        <w:t>Managing Director, Strategic Products &amp; Technology</w:t>
      </w:r>
      <w:r w:rsidR="005332B6" w:rsidRPr="00E01E06">
        <w:rPr>
          <w:rFonts w:asciiTheme="majorHAnsi" w:hAnsiTheme="majorHAnsi"/>
          <w:sz w:val="24"/>
          <w:szCs w:val="24"/>
        </w:rPr>
        <w:br/>
      </w:r>
    </w:p>
    <w:p w14:paraId="72DE8307" w14:textId="77777777" w:rsidR="00115B11" w:rsidRPr="00E01E06"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581B5E3" w14:textId="77777777" w:rsidR="00E01E06" w:rsidRPr="007219B2" w:rsidRDefault="00E01E06" w:rsidP="00E01E06">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C2B9198" w14:textId="77777777" w:rsidR="00E01E06" w:rsidRPr="007219B2" w:rsidRDefault="00E01E06" w:rsidP="00E01E0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E7D3CAD" w14:textId="77777777" w:rsidR="00E01E06" w:rsidRPr="007219B2" w:rsidRDefault="00E01E06" w:rsidP="00E01E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58D8520" w14:textId="77777777" w:rsidR="00E01E06" w:rsidRPr="007219B2" w:rsidRDefault="00E01E06" w:rsidP="00E01E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138F305" w14:textId="77777777" w:rsidR="00E01E06" w:rsidRPr="007219B2" w:rsidRDefault="00E01E06" w:rsidP="00E01E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0CFCADA" w14:textId="77777777" w:rsidR="00E01E06" w:rsidRPr="007219B2" w:rsidRDefault="00E01E06" w:rsidP="00E01E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EA5E456" w14:textId="77777777" w:rsidR="00E01E06" w:rsidRPr="007219B2" w:rsidRDefault="00E01E06" w:rsidP="00E01E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D359A99" w14:textId="77777777" w:rsidR="00E01E06" w:rsidRPr="007219B2" w:rsidRDefault="00E01E06" w:rsidP="00E01E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C78B3E1" w14:textId="77777777" w:rsidR="00E01E06" w:rsidRPr="007219B2" w:rsidRDefault="00E01E06" w:rsidP="00E01E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D997F7A" w14:textId="77777777" w:rsidR="00E01E06" w:rsidRPr="007219B2" w:rsidRDefault="00E01E06" w:rsidP="00E01E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4BC42C2" w14:textId="77777777" w:rsidR="00E01E06" w:rsidRDefault="00E01E06" w:rsidP="00E01E06">
      <w:pPr>
        <w:numPr>
          <w:ilvl w:val="0"/>
          <w:numId w:val="42"/>
        </w:numPr>
        <w:spacing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255A0BB5" w14:textId="77777777" w:rsidR="00E01E06" w:rsidRPr="004855F7" w:rsidRDefault="00E01E06" w:rsidP="00E01E06">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A7FE291" w14:textId="77777777" w:rsidR="00E01E06" w:rsidRPr="004A4A05" w:rsidRDefault="00E01E06" w:rsidP="00E01E06">
      <w:pPr>
        <w:numPr>
          <w:ilvl w:val="0"/>
          <w:numId w:val="42"/>
        </w:numPr>
        <w:spacing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5B61585C" w14:textId="4DBF7D6A" w:rsidR="00E01E06" w:rsidRPr="00E01E06" w:rsidRDefault="00E01E06" w:rsidP="00E01E06">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5315C0" w:rsidRDefault="005315C0">
      <w:pPr>
        <w:pStyle w:val="Footer"/>
      </w:pPr>
    </w:p>
  </w:endnote>
  <w:endnote w:type="continuationSeparator" w:id="0">
    <w:p w14:paraId="67A6DD6C" w14:textId="77777777" w:rsidR="005315C0" w:rsidRDefault="005315C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861E3AB"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D602A4">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D602A4">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D602A4">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D602A4">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D602A4">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602A4">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D602A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D602A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D602A4">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D602A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D602A4">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D602A4">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D602A4">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5315C0" w:rsidRDefault="005315C0">
      <w:r>
        <w:separator/>
      </w:r>
    </w:p>
  </w:footnote>
  <w:footnote w:type="continuationSeparator" w:id="0">
    <w:p w14:paraId="189A43B6" w14:textId="77777777" w:rsidR="005315C0" w:rsidRDefault="0053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JfQrnjMiTtJmngNpY1xVp51Qcss=" w:salt="8TZa1j/RoOYSYAIgxDEJ8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70A5"/>
    <w:rsid w:val="00070003"/>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3248F3"/>
    <w:rsid w:val="003555CF"/>
    <w:rsid w:val="00384A44"/>
    <w:rsid w:val="003A582D"/>
    <w:rsid w:val="003E6F6B"/>
    <w:rsid w:val="003F1ECD"/>
    <w:rsid w:val="00410C40"/>
    <w:rsid w:val="00423DD1"/>
    <w:rsid w:val="00442E65"/>
    <w:rsid w:val="004520B6"/>
    <w:rsid w:val="0046082C"/>
    <w:rsid w:val="00460FC4"/>
    <w:rsid w:val="004A70AB"/>
    <w:rsid w:val="004D3240"/>
    <w:rsid w:val="005229EC"/>
    <w:rsid w:val="005315C0"/>
    <w:rsid w:val="005332B6"/>
    <w:rsid w:val="00554168"/>
    <w:rsid w:val="005D4FE5"/>
    <w:rsid w:val="005D6885"/>
    <w:rsid w:val="006251CC"/>
    <w:rsid w:val="0069064E"/>
    <w:rsid w:val="0069593F"/>
    <w:rsid w:val="006D627D"/>
    <w:rsid w:val="00731583"/>
    <w:rsid w:val="00735031"/>
    <w:rsid w:val="00762219"/>
    <w:rsid w:val="00773B61"/>
    <w:rsid w:val="00781CD6"/>
    <w:rsid w:val="007D2E95"/>
    <w:rsid w:val="007D68BC"/>
    <w:rsid w:val="0082394D"/>
    <w:rsid w:val="008562E8"/>
    <w:rsid w:val="0086165B"/>
    <w:rsid w:val="008B472D"/>
    <w:rsid w:val="008E2675"/>
    <w:rsid w:val="008F5773"/>
    <w:rsid w:val="009250C2"/>
    <w:rsid w:val="00947855"/>
    <w:rsid w:val="00973E5D"/>
    <w:rsid w:val="009963F6"/>
    <w:rsid w:val="009A7216"/>
    <w:rsid w:val="009C655C"/>
    <w:rsid w:val="009C6F01"/>
    <w:rsid w:val="00A01BAD"/>
    <w:rsid w:val="00A329C6"/>
    <w:rsid w:val="00A33CF2"/>
    <w:rsid w:val="00A41F74"/>
    <w:rsid w:val="00A51A99"/>
    <w:rsid w:val="00A56912"/>
    <w:rsid w:val="00AB095D"/>
    <w:rsid w:val="00AB7343"/>
    <w:rsid w:val="00AE74CB"/>
    <w:rsid w:val="00AF2699"/>
    <w:rsid w:val="00B00719"/>
    <w:rsid w:val="00B84D31"/>
    <w:rsid w:val="00B93962"/>
    <w:rsid w:val="00BC0CA9"/>
    <w:rsid w:val="00BF2B5B"/>
    <w:rsid w:val="00C302DC"/>
    <w:rsid w:val="00C314DA"/>
    <w:rsid w:val="00C37245"/>
    <w:rsid w:val="00C47078"/>
    <w:rsid w:val="00C54B6B"/>
    <w:rsid w:val="00C632D7"/>
    <w:rsid w:val="00C80635"/>
    <w:rsid w:val="00C84E8B"/>
    <w:rsid w:val="00C94836"/>
    <w:rsid w:val="00D602A4"/>
    <w:rsid w:val="00D6646D"/>
    <w:rsid w:val="00DC4638"/>
    <w:rsid w:val="00DC4F22"/>
    <w:rsid w:val="00DF6C9B"/>
    <w:rsid w:val="00E01E06"/>
    <w:rsid w:val="00E17C76"/>
    <w:rsid w:val="00E47529"/>
    <w:rsid w:val="00E657F6"/>
    <w:rsid w:val="00E746BC"/>
    <w:rsid w:val="00E831BA"/>
    <w:rsid w:val="00EE356C"/>
    <w:rsid w:val="00EE7092"/>
    <w:rsid w:val="00F24E9B"/>
    <w:rsid w:val="00F437BC"/>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32812</Words>
  <Characters>187031</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2014-07-15T21:45:00Z</dcterms:created>
  <dcterms:modified xsi:type="dcterms:W3CDTF">2014-07-15T21:46:00Z</dcterms:modified>
  <cp:contentStatus/>
</cp:coreProperties>
</file>