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12EAFF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proofErr w:type="spellStart"/>
      <w:r w:rsidR="00575B2F">
        <w:rPr>
          <w:rFonts w:asciiTheme="majorHAnsi" w:hAnsiTheme="majorHAnsi"/>
          <w:sz w:val="24"/>
          <w:szCs w:val="24"/>
        </w:rPr>
        <w:t>Puntueus</w:t>
      </w:r>
      <w:proofErr w:type="spellEnd"/>
      <w:r w:rsidR="00575B2F">
        <w:rPr>
          <w:rFonts w:asciiTheme="majorHAnsi" w:hAnsiTheme="majorHAnsi"/>
          <w:sz w:val="24"/>
          <w:szCs w:val="24"/>
        </w:rPr>
        <w:t xml:space="preserve"> </w:t>
      </w:r>
      <w:proofErr w:type="spellStart"/>
      <w:r w:rsidR="00575B2F">
        <w:rPr>
          <w:rFonts w:asciiTheme="majorHAnsi" w:hAnsiTheme="majorHAnsi"/>
          <w:sz w:val="24"/>
          <w:szCs w:val="24"/>
        </w:rPr>
        <w:t>Fundazioa</w:t>
      </w:r>
      <w:proofErr w:type="spellEnd"/>
      <w:r w:rsidR="00A01BAD">
        <w:rPr>
          <w:rFonts w:asciiTheme="majorHAnsi" w:hAnsiTheme="majorHAnsi"/>
          <w:sz w:val="24"/>
          <w:szCs w:val="24"/>
        </w:rPr>
        <w:t xml:space="preserve">, </w:t>
      </w:r>
      <w:r w:rsidR="009C295B">
        <w:rPr>
          <w:rFonts w:asciiTheme="majorHAnsi" w:hAnsiTheme="majorHAnsi"/>
          <w:sz w:val="24"/>
          <w:szCs w:val="24"/>
        </w:rPr>
        <w:t xml:space="preserve">a </w:t>
      </w:r>
      <w:r w:rsidR="00610F07">
        <w:rPr>
          <w:rFonts w:asciiTheme="majorHAnsi" w:hAnsiTheme="majorHAnsi"/>
          <w:sz w:val="24"/>
          <w:szCs w:val="24"/>
        </w:rPr>
        <w:t>non-for-profit association formed under the laws of Spain</w:t>
      </w:r>
      <w:r w:rsidR="004520B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F107C4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83406E">
        <w:rPr>
          <w:rFonts w:asciiTheme="majorHAnsi" w:hAnsiTheme="majorHAnsi"/>
          <w:b/>
          <w:szCs w:val="24"/>
        </w:rPr>
        <w:t>eus</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w:t>
      </w:r>
      <w:proofErr w:type="gramStart"/>
      <w:r>
        <w:rPr>
          <w:rFonts w:asciiTheme="majorHAnsi" w:hAnsiTheme="majorHAnsi"/>
          <w:szCs w:val="24"/>
        </w:rPr>
        <w:t>to</w:t>
      </w:r>
      <w:proofErr w:type="gramEnd"/>
      <w:r>
        <w:rPr>
          <w:rFonts w:asciiTheme="majorHAnsi" w:hAnsiTheme="majorHAnsi"/>
          <w:szCs w:val="24"/>
        </w:rPr>
        <w:t xml:space="preserve">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CDDF765" w14:textId="47FC2B21" w:rsidR="00DA6308" w:rsidRPr="00DA6308" w:rsidRDefault="00DA6308" w:rsidP="00DA6308">
      <w:pPr>
        <w:pStyle w:val="ARTICLEAL2"/>
        <w:rPr>
          <w:rFonts w:asciiTheme="majorHAnsi" w:hAnsiTheme="majorHAnsi"/>
          <w:strike/>
          <w:szCs w:val="24"/>
        </w:rPr>
      </w:pPr>
      <w:r w:rsidRPr="00DA6308">
        <w:rPr>
          <w:rStyle w:val="DeltaViewDeletion"/>
          <w:rFonts w:asciiTheme="majorHAnsi" w:hAnsiTheme="majorHAnsi"/>
          <w:b/>
          <w:strike w:val="0"/>
          <w:color w:val="auto"/>
          <w:szCs w:val="24"/>
        </w:rPr>
        <w:lastRenderedPageBreak/>
        <w:t>Obligations of Registry Operator to TLD Community</w:t>
      </w:r>
      <w:r w:rsidRPr="00DA6308">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Pr="00DA6308">
        <w:rPr>
          <w:rStyle w:val="DeltaViewDeletion"/>
          <w:rFonts w:asciiTheme="majorHAnsi" w:hAnsiTheme="majorHAnsi"/>
          <w:strike w:val="0"/>
          <w:color w:val="auto"/>
          <w:szCs w:val="24"/>
        </w:rPr>
        <w:t>i</w:t>
      </w:r>
      <w:proofErr w:type="spellEnd"/>
      <w:r w:rsidRPr="00DA6308">
        <w:rPr>
          <w:rStyle w:val="DeltaViewDeletion"/>
          <w:rFonts w:asciiTheme="majorHAnsi" w:hAnsiTheme="majorHAnsi"/>
          <w:strike w:val="0"/>
          <w:color w:val="auto"/>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BAF6AE" w14:textId="1AD13953" w:rsidR="00B125A1" w:rsidRDefault="005332B6" w:rsidP="000171F5">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proofErr w:type="spellStart"/>
      <w:r w:rsidR="00575B2F">
        <w:rPr>
          <w:rFonts w:asciiTheme="majorHAnsi" w:eastAsia="DFKai-SB" w:hAnsiTheme="majorHAnsi" w:cs="Arial"/>
          <w:sz w:val="24"/>
          <w:szCs w:val="24"/>
        </w:rPr>
        <w:t>Puntueus</w:t>
      </w:r>
      <w:proofErr w:type="spellEnd"/>
      <w:r w:rsidR="00575B2F">
        <w:rPr>
          <w:rFonts w:asciiTheme="majorHAnsi" w:eastAsia="DFKai-SB" w:hAnsiTheme="majorHAnsi" w:cs="Arial"/>
          <w:sz w:val="24"/>
          <w:szCs w:val="24"/>
        </w:rPr>
        <w:t xml:space="preserve"> </w:t>
      </w:r>
      <w:proofErr w:type="spellStart"/>
      <w:r w:rsidR="00575B2F">
        <w:rPr>
          <w:rFonts w:asciiTheme="majorHAnsi" w:eastAsia="DFKai-SB" w:hAnsiTheme="majorHAnsi" w:cs="Arial"/>
          <w:sz w:val="24"/>
          <w:szCs w:val="24"/>
        </w:rPr>
        <w:t>Fundazioa</w:t>
      </w:r>
      <w:proofErr w:type="spellEnd"/>
    </w:p>
    <w:p w14:paraId="6C082161" w14:textId="7A4F4492" w:rsidR="000171F5" w:rsidRPr="001F7F4B" w:rsidRDefault="00141D6C" w:rsidP="000171F5">
      <w:pPr>
        <w:widowControl w:val="0"/>
        <w:autoSpaceDE w:val="0"/>
        <w:autoSpaceDN w:val="0"/>
        <w:adjustRightInd w:val="0"/>
        <w:ind w:left="1440"/>
        <w:rPr>
          <w:rFonts w:asciiTheme="majorHAnsi" w:eastAsia="DFKai-SB" w:hAnsiTheme="majorHAnsi" w:cs="Arial"/>
          <w:sz w:val="24"/>
          <w:szCs w:val="24"/>
        </w:rPr>
      </w:pPr>
      <w:proofErr w:type="spellStart"/>
      <w:r w:rsidRPr="001F7F4B">
        <w:rPr>
          <w:rFonts w:asciiTheme="majorHAnsi" w:eastAsia="DFKai-SB" w:hAnsiTheme="majorHAnsi" w:cs="Arial"/>
          <w:sz w:val="24"/>
          <w:szCs w:val="24"/>
        </w:rPr>
        <w:t>Arriola</w:t>
      </w:r>
      <w:proofErr w:type="spellEnd"/>
      <w:r w:rsidRPr="001F7F4B">
        <w:rPr>
          <w:rFonts w:asciiTheme="majorHAnsi" w:eastAsia="DFKai-SB" w:hAnsiTheme="majorHAnsi" w:cs="Arial"/>
          <w:sz w:val="24"/>
          <w:szCs w:val="24"/>
        </w:rPr>
        <w:t xml:space="preserve"> </w:t>
      </w:r>
      <w:proofErr w:type="spellStart"/>
      <w:r w:rsidRPr="001F7F4B">
        <w:rPr>
          <w:rFonts w:asciiTheme="majorHAnsi" w:eastAsia="DFKai-SB" w:hAnsiTheme="majorHAnsi" w:cs="Arial"/>
          <w:sz w:val="24"/>
          <w:szCs w:val="24"/>
        </w:rPr>
        <w:t>pasealekua</w:t>
      </w:r>
      <w:proofErr w:type="spellEnd"/>
      <w:r w:rsidRPr="001F7F4B">
        <w:rPr>
          <w:rFonts w:asciiTheme="majorHAnsi" w:eastAsia="DFKai-SB" w:hAnsiTheme="majorHAnsi" w:cs="Arial"/>
          <w:sz w:val="24"/>
          <w:szCs w:val="24"/>
        </w:rPr>
        <w:t xml:space="preserve"> 2 </w:t>
      </w:r>
    </w:p>
    <w:p w14:paraId="522F9012" w14:textId="607AA450" w:rsidR="00B125A1" w:rsidRPr="001F7F4B" w:rsidRDefault="00141D6C" w:rsidP="001F7F4B">
      <w:pPr>
        <w:widowControl w:val="0"/>
        <w:autoSpaceDE w:val="0"/>
        <w:autoSpaceDN w:val="0"/>
        <w:adjustRightInd w:val="0"/>
        <w:ind w:left="1440"/>
        <w:rPr>
          <w:rFonts w:asciiTheme="majorHAnsi" w:eastAsia="DFKai-SB" w:hAnsiTheme="majorHAnsi" w:cs="Arial"/>
          <w:sz w:val="24"/>
          <w:szCs w:val="24"/>
        </w:rPr>
      </w:pPr>
      <w:proofErr w:type="spellStart"/>
      <w:r w:rsidRPr="001F7F4B">
        <w:rPr>
          <w:rFonts w:asciiTheme="majorHAnsi" w:eastAsia="DFKai-SB" w:hAnsiTheme="majorHAnsi" w:cs="Arial"/>
          <w:sz w:val="24"/>
          <w:szCs w:val="24"/>
        </w:rPr>
        <w:t>Donostia</w:t>
      </w:r>
      <w:proofErr w:type="spellEnd"/>
      <w:r w:rsidRPr="001F7F4B">
        <w:rPr>
          <w:rFonts w:asciiTheme="majorHAnsi" w:eastAsia="DFKai-SB" w:hAnsiTheme="majorHAnsi" w:cs="Arial"/>
          <w:sz w:val="24"/>
          <w:szCs w:val="24"/>
        </w:rPr>
        <w:t xml:space="preserve">, </w:t>
      </w:r>
      <w:r w:rsidR="001F7F4B" w:rsidRPr="001F7F4B">
        <w:rPr>
          <w:rFonts w:asciiTheme="majorHAnsi" w:eastAsia="DFKai-SB" w:hAnsiTheme="majorHAnsi" w:cs="Arial"/>
          <w:sz w:val="24"/>
          <w:szCs w:val="24"/>
        </w:rPr>
        <w:t>Basque Country 20018</w:t>
      </w:r>
    </w:p>
    <w:p w14:paraId="16DE35C1" w14:textId="27C137B0" w:rsidR="001F7F4B" w:rsidRPr="001F7F4B" w:rsidRDefault="007938BE" w:rsidP="00B125A1">
      <w:pPr>
        <w:pStyle w:val="BodyTextIndent"/>
        <w:spacing w:after="0"/>
        <w:rPr>
          <w:rFonts w:asciiTheme="majorHAnsi" w:hAnsiTheme="majorHAnsi"/>
          <w:sz w:val="24"/>
          <w:szCs w:val="24"/>
        </w:rPr>
      </w:pPr>
      <w:r>
        <w:rPr>
          <w:rFonts w:asciiTheme="majorHAnsi" w:eastAsia="DFKai-SB" w:hAnsiTheme="majorHAnsi" w:cs="Times"/>
          <w:color w:val="0D1926"/>
          <w:sz w:val="24"/>
          <w:szCs w:val="24"/>
        </w:rPr>
        <w:t>Spain</w:t>
      </w:r>
    </w:p>
    <w:p w14:paraId="45184F20" w14:textId="7242F5AC" w:rsidR="001F7F4B" w:rsidRDefault="005332B6" w:rsidP="001F7F4B">
      <w:pPr>
        <w:pStyle w:val="BodyTextIndent2"/>
        <w:ind w:left="144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1F7F4B">
        <w:rPr>
          <w:rFonts w:asciiTheme="majorHAnsi" w:eastAsia="DFKai-SB" w:hAnsiTheme="majorHAnsi" w:cs="Arial"/>
          <w:sz w:val="24"/>
          <w:szCs w:val="24"/>
        </w:rPr>
        <w:t>34-665-770-945</w:t>
      </w:r>
      <w:r w:rsidRPr="0046082C">
        <w:rPr>
          <w:rFonts w:asciiTheme="majorHAnsi" w:hAnsiTheme="majorHAnsi"/>
          <w:sz w:val="24"/>
          <w:szCs w:val="24"/>
        </w:rPr>
        <w:br/>
        <w:t xml:space="preserve">Attention:  </w:t>
      </w:r>
      <w:proofErr w:type="spellStart"/>
      <w:r w:rsidR="001F7F4B" w:rsidRPr="00575B2F">
        <w:rPr>
          <w:rFonts w:asciiTheme="majorHAnsi" w:hAnsiTheme="majorHAnsi"/>
          <w:sz w:val="24"/>
          <w:szCs w:val="24"/>
        </w:rPr>
        <w:t>Iratxe</w:t>
      </w:r>
      <w:proofErr w:type="spellEnd"/>
      <w:r w:rsidR="001F7F4B" w:rsidRPr="00575B2F">
        <w:t xml:space="preserve"> </w:t>
      </w:r>
      <w:proofErr w:type="spellStart"/>
      <w:r w:rsidR="001F7F4B" w:rsidRPr="00575B2F">
        <w:rPr>
          <w:rFonts w:asciiTheme="majorHAnsi" w:hAnsiTheme="majorHAnsi"/>
          <w:sz w:val="24"/>
          <w:szCs w:val="24"/>
        </w:rPr>
        <w:t>Esnaola</w:t>
      </w:r>
      <w:proofErr w:type="spellEnd"/>
      <w:r w:rsidR="001F7F4B" w:rsidRPr="00575B2F">
        <w:rPr>
          <w:rFonts w:asciiTheme="majorHAnsi" w:hAnsiTheme="majorHAnsi"/>
          <w:sz w:val="24"/>
          <w:szCs w:val="24"/>
        </w:rPr>
        <w:t xml:space="preserve"> </w:t>
      </w:r>
      <w:proofErr w:type="spellStart"/>
      <w:r w:rsidR="001F7F4B" w:rsidRPr="00575B2F">
        <w:rPr>
          <w:rFonts w:asciiTheme="majorHAnsi" w:hAnsiTheme="majorHAnsi"/>
          <w:sz w:val="24"/>
          <w:szCs w:val="24"/>
        </w:rPr>
        <w:t>Arribillaga</w:t>
      </w:r>
      <w:proofErr w:type="spellEnd"/>
      <w:r w:rsidR="001F7F4B">
        <w:rPr>
          <w:rFonts w:asciiTheme="majorHAnsi" w:hAnsiTheme="majorHAnsi"/>
          <w:sz w:val="24"/>
          <w:szCs w:val="24"/>
        </w:rPr>
        <w:t>, General Secretary</w:t>
      </w:r>
    </w:p>
    <w:p w14:paraId="42241A9F" w14:textId="701D3CEE" w:rsidR="00115B11" w:rsidRDefault="005332B6" w:rsidP="001F7F4B">
      <w:pPr>
        <w:pStyle w:val="BodyTextIndent"/>
        <w:ind w:left="720" w:firstLine="720"/>
        <w:rPr>
          <w:rFonts w:asciiTheme="majorHAnsi" w:hAnsiTheme="majorHAnsi"/>
          <w:sz w:val="24"/>
          <w:szCs w:val="24"/>
        </w:rPr>
      </w:pPr>
      <w:r w:rsidRPr="0046082C">
        <w:rPr>
          <w:rFonts w:asciiTheme="majorHAnsi" w:hAnsiTheme="majorHAnsi"/>
          <w:sz w:val="24"/>
          <w:szCs w:val="24"/>
        </w:rPr>
        <w:t xml:space="preserve">Email: </w:t>
      </w:r>
      <w:r w:rsidR="001F7F4B">
        <w:rPr>
          <w:rFonts w:asciiTheme="majorHAnsi" w:hAnsiTheme="majorHAnsi"/>
          <w:sz w:val="24"/>
          <w:szCs w:val="24"/>
        </w:rPr>
        <w:t>icann-notices@puntueus.org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2B3CCCCA"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87C2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BBC3FAF" w:rsidR="00115B11" w:rsidRPr="0046082C" w:rsidRDefault="00575B2F">
      <w:pPr>
        <w:pStyle w:val="BodyText"/>
        <w:rPr>
          <w:rFonts w:asciiTheme="majorHAnsi" w:hAnsiTheme="majorHAnsi"/>
          <w:b/>
          <w:sz w:val="24"/>
          <w:szCs w:val="24"/>
        </w:rPr>
      </w:pPr>
      <w:bookmarkStart w:id="0" w:name="_GoBack"/>
      <w:r>
        <w:rPr>
          <w:rFonts w:asciiTheme="majorHAnsi" w:hAnsiTheme="majorHAnsi"/>
          <w:b/>
          <w:sz w:val="24"/>
          <w:szCs w:val="24"/>
        </w:rPr>
        <w:t>PUNTUEUS FUNDAZIOA</w:t>
      </w:r>
      <w:bookmarkEnd w:id="0"/>
    </w:p>
    <w:p w14:paraId="3142FC76" w14:textId="1B0DC2C0" w:rsidR="005229EC" w:rsidRDefault="005332B6" w:rsidP="00575B2F">
      <w:pPr>
        <w:pStyle w:val="BodyTextIndent2"/>
        <w:ind w:left="1440" w:hanging="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r>
      <w:r w:rsidR="00575B2F">
        <w:rPr>
          <w:rFonts w:asciiTheme="majorHAnsi" w:hAnsiTheme="majorHAnsi"/>
          <w:sz w:val="24"/>
          <w:szCs w:val="24"/>
        </w:rPr>
        <w:t>_____________________________</w:t>
      </w:r>
      <w:r w:rsidR="00575B2F">
        <w:rPr>
          <w:rFonts w:asciiTheme="majorHAnsi" w:hAnsiTheme="majorHAnsi"/>
          <w:sz w:val="24"/>
          <w:szCs w:val="24"/>
        </w:rPr>
        <w:br/>
      </w:r>
      <w:proofErr w:type="spellStart"/>
      <w:r w:rsidR="00575B2F" w:rsidRPr="00575B2F">
        <w:rPr>
          <w:rFonts w:asciiTheme="majorHAnsi" w:hAnsiTheme="majorHAnsi"/>
          <w:sz w:val="24"/>
          <w:szCs w:val="24"/>
        </w:rPr>
        <w:t>Iratxe</w:t>
      </w:r>
      <w:proofErr w:type="spellEnd"/>
      <w:r w:rsidR="00575B2F" w:rsidRPr="00575B2F">
        <w:t xml:space="preserve"> </w:t>
      </w:r>
      <w:proofErr w:type="spellStart"/>
      <w:r w:rsidR="00575B2F" w:rsidRPr="00575B2F">
        <w:rPr>
          <w:rFonts w:asciiTheme="majorHAnsi" w:hAnsiTheme="majorHAnsi"/>
          <w:sz w:val="24"/>
          <w:szCs w:val="24"/>
        </w:rPr>
        <w:t>Esnaola</w:t>
      </w:r>
      <w:proofErr w:type="spellEnd"/>
      <w:r w:rsidR="00575B2F" w:rsidRPr="00575B2F">
        <w:rPr>
          <w:rFonts w:asciiTheme="majorHAnsi" w:hAnsiTheme="majorHAnsi"/>
          <w:sz w:val="24"/>
          <w:szCs w:val="24"/>
        </w:rPr>
        <w:t xml:space="preserve"> </w:t>
      </w:r>
      <w:proofErr w:type="spellStart"/>
      <w:r w:rsidR="00575B2F" w:rsidRPr="00575B2F">
        <w:rPr>
          <w:rFonts w:asciiTheme="majorHAnsi" w:hAnsiTheme="majorHAnsi"/>
          <w:sz w:val="24"/>
          <w:szCs w:val="24"/>
        </w:rPr>
        <w:t>Arribillaga</w:t>
      </w:r>
      <w:proofErr w:type="spellEnd"/>
    </w:p>
    <w:p w14:paraId="291A593F" w14:textId="7D38A7C8"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575B2F">
        <w:rPr>
          <w:rFonts w:asciiTheme="majorHAnsi" w:hAnsiTheme="majorHAnsi"/>
          <w:sz w:val="24"/>
          <w:szCs w:val="24"/>
        </w:rPr>
        <w:t>General Secretary</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49F2546" w14:textId="77777777" w:rsidR="001D7029" w:rsidRPr="007219B2" w:rsidRDefault="001D7029" w:rsidP="001D7029">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65C054" w14:textId="77777777" w:rsidR="001D7029" w:rsidRPr="007219B2" w:rsidRDefault="001D7029" w:rsidP="001D702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2901E72" w14:textId="77777777" w:rsidR="001D7029" w:rsidRPr="007219B2" w:rsidRDefault="001D7029" w:rsidP="001D702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DECE3A4" w14:textId="77777777" w:rsidR="001D7029" w:rsidRPr="007219B2" w:rsidRDefault="001D7029" w:rsidP="001D702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3E5D775" w14:textId="77777777" w:rsidR="001D7029" w:rsidRPr="007219B2" w:rsidRDefault="001D7029" w:rsidP="001D702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8764EA" w14:textId="77777777" w:rsidR="001D7029" w:rsidRPr="007219B2" w:rsidRDefault="001D7029" w:rsidP="001D702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C3754CD" w14:textId="77777777" w:rsidR="001D7029" w:rsidRPr="007219B2" w:rsidRDefault="001D7029" w:rsidP="001D702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1BD169C" w14:textId="77777777" w:rsidR="001D7029" w:rsidRPr="007219B2" w:rsidRDefault="001D7029" w:rsidP="001D702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E194C38" w14:textId="77777777" w:rsidR="001D7029" w:rsidRPr="007219B2" w:rsidRDefault="001D7029" w:rsidP="001D702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B8DC940" w14:textId="77777777" w:rsidR="001D7029" w:rsidRPr="00D9586F" w:rsidRDefault="001D7029" w:rsidP="001D702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96E6BFA" w14:textId="77777777" w:rsidR="001D7029" w:rsidRDefault="001D7029" w:rsidP="001D702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 xml:space="preserve">Searchable </w:t>
      </w:r>
      <w:proofErr w:type="spellStart"/>
      <w:r>
        <w:rPr>
          <w:rFonts w:ascii="Cambria" w:eastAsia="Arial" w:hAnsi="Cambria" w:cs="Arial"/>
          <w:b/>
          <w:color w:val="000000"/>
          <w:szCs w:val="22"/>
          <w:lang w:eastAsia="ja-JP"/>
        </w:rPr>
        <w:t>Whois</w:t>
      </w:r>
      <w:proofErr w:type="spellEnd"/>
    </w:p>
    <w:p w14:paraId="0C31137D" w14:textId="77777777" w:rsidR="001D7029" w:rsidRPr="00770AB5" w:rsidRDefault="001D7029" w:rsidP="001D7029">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 xml:space="preserve">Notwithstanding anything else in this Agreement, Registry Operator must offer a searchable </w:t>
      </w:r>
      <w:proofErr w:type="spellStart"/>
      <w:r w:rsidRPr="00B26970">
        <w:rPr>
          <w:rFonts w:ascii="Cambria" w:eastAsia="Arial" w:hAnsi="Cambria" w:cs="Arial"/>
          <w:color w:val="000000"/>
          <w:szCs w:val="22"/>
          <w:lang w:eastAsia="ja-JP"/>
        </w:rPr>
        <w:t>Whois</w:t>
      </w:r>
      <w:proofErr w:type="spellEnd"/>
      <w:r w:rsidRPr="00B26970">
        <w:rPr>
          <w:rFonts w:ascii="Cambria" w:eastAsia="Arial" w:hAnsi="Cambria" w:cs="Arial"/>
          <w:color w:val="000000"/>
          <w:szCs w:val="22"/>
          <w:lang w:eastAsia="ja-JP"/>
        </w:rPr>
        <w:t xml:space="preserve">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51C568B1" w14:textId="77777777" w:rsidR="001D7029" w:rsidRPr="00F62E1E" w:rsidRDefault="001D7029" w:rsidP="001D7029">
      <w:pPr>
        <w:numPr>
          <w:ilvl w:val="0"/>
          <w:numId w:val="42"/>
        </w:numPr>
        <w:spacing w:before="480" w:after="200" w:line="276" w:lineRule="auto"/>
        <w:ind w:left="720"/>
        <w:outlineLvl w:val="0"/>
        <w:rPr>
          <w:rFonts w:ascii="Cambria" w:eastAsia="Arial" w:hAnsi="Cambria" w:cs="Arial"/>
          <w:b/>
          <w:color w:val="000000"/>
          <w:szCs w:val="22"/>
          <w:lang w:eastAsia="ja-JP"/>
        </w:rPr>
      </w:pPr>
      <w:r w:rsidRPr="00F62E1E">
        <w:rPr>
          <w:rFonts w:ascii="Cambria" w:eastAsia="Arial" w:hAnsi="Cambria" w:cs="Arial"/>
          <w:b/>
          <w:color w:val="000000"/>
          <w:szCs w:val="22"/>
          <w:lang w:eastAsia="ja-JP"/>
        </w:rPr>
        <w:lastRenderedPageBreak/>
        <w:t>Registration Data Change Notifications</w:t>
      </w:r>
    </w:p>
    <w:p w14:paraId="1D4E36AE" w14:textId="77777777" w:rsidR="001D7029" w:rsidRPr="00476A84" w:rsidRDefault="001D7029" w:rsidP="001D7029">
      <w:pPr>
        <w:spacing w:after="200" w:line="276" w:lineRule="auto"/>
        <w:ind w:left="360"/>
        <w:outlineLvl w:val="0"/>
        <w:rPr>
          <w:rFonts w:ascii="Cambria" w:eastAsia="Arial" w:hAnsi="Cambria" w:cs="Arial"/>
          <w:color w:val="000000"/>
          <w:szCs w:val="22"/>
          <w:lang w:eastAsia="ja-JP"/>
        </w:rPr>
      </w:pPr>
      <w:r w:rsidRPr="00F62E1E">
        <w:rPr>
          <w:rFonts w:ascii="Cambria" w:eastAsia="Arial" w:hAnsi="Cambria" w:cs="Arial"/>
          <w:color w:val="000000"/>
          <w:szCs w:val="22"/>
          <w:lang w:eastAsia="ja-JP"/>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5C9465A9" w14:textId="77777777" w:rsidR="001D7029" w:rsidRPr="00983BFF" w:rsidRDefault="001D7029" w:rsidP="001D702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40CE3EE" w14:textId="77777777" w:rsidR="001D7029" w:rsidRPr="00983BFF" w:rsidRDefault="001D7029" w:rsidP="001D702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D90EBA4" w14:textId="77777777" w:rsidR="001D7029" w:rsidRPr="00983BFF" w:rsidRDefault="001D7029" w:rsidP="001D702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BACC5AC" w14:textId="77777777" w:rsidR="001D7029" w:rsidRPr="00B26970" w:rsidRDefault="001D7029" w:rsidP="001D7029">
      <w:pPr>
        <w:numPr>
          <w:ilvl w:val="1"/>
          <w:numId w:val="42"/>
        </w:numPr>
        <w:spacing w:after="200"/>
        <w:ind w:left="1152"/>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2E28422F" w14:textId="77777777" w:rsidR="001D7029" w:rsidRPr="00B26970" w:rsidRDefault="001D7029" w:rsidP="001D7029">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597FD1BA" w14:textId="77777777" w:rsidR="001D7029" w:rsidRPr="00B26970" w:rsidRDefault="001D7029" w:rsidP="001D7029">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79D9F72" w14:textId="77777777" w:rsidR="001D7029" w:rsidRPr="00B26970" w:rsidRDefault="001D7029" w:rsidP="001D7029">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4FA87D9" w14:textId="77777777" w:rsidR="001D7029" w:rsidRPr="00276540" w:rsidRDefault="001D7029" w:rsidP="001D7029">
      <w:pPr>
        <w:pStyle w:val="ListParagraph"/>
        <w:ind w:left="1152"/>
        <w:rPr>
          <w:rFonts w:ascii="Cambria" w:eastAsia="Arial" w:hAnsi="Cambria" w:cs="Arial"/>
          <w:color w:val="000000"/>
          <w:szCs w:val="22"/>
          <w:lang w:eastAsia="ja-JP"/>
        </w:rPr>
      </w:pPr>
    </w:p>
    <w:p w14:paraId="6A3A427B" w14:textId="77777777" w:rsidR="001D7029" w:rsidRPr="00983BFF" w:rsidRDefault="001D7029" w:rsidP="001D702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1560CB" w14:textId="77777777" w:rsidR="001D7029" w:rsidRDefault="001D7029" w:rsidP="001D702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 xml:space="preserve">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4E85D1BC" w14:textId="77777777" w:rsidR="00E17A38" w:rsidRPr="00E17A38" w:rsidRDefault="00E17A38" w:rsidP="00E17A38">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E17A38">
        <w:rPr>
          <w:rFonts w:asciiTheme="majorHAnsi" w:hAnsiTheme="majorHAnsi" w:cs="Cambria"/>
          <w:sz w:val="24"/>
          <w:szCs w:val="24"/>
        </w:rPr>
        <w:t>posted at [</w:t>
      </w:r>
      <w:proofErr w:type="spellStart"/>
      <w:r w:rsidRPr="00E17A38">
        <w:rPr>
          <w:rFonts w:asciiTheme="majorHAnsi" w:hAnsiTheme="majorHAnsi" w:cs="Cambria"/>
          <w:sz w:val="24"/>
          <w:szCs w:val="24"/>
        </w:rPr>
        <w:t>url</w:t>
      </w:r>
      <w:proofErr w:type="spellEnd"/>
      <w:r w:rsidRPr="00E17A38">
        <w:rPr>
          <w:rFonts w:asciiTheme="majorHAnsi" w:hAnsiTheme="majorHAnsi" w:cs="Cambria"/>
          <w:sz w:val="24"/>
          <w:szCs w:val="24"/>
        </w:rPr>
        <w:t xml:space="preserve"> to be inserted when final procedure is adopted]), which may be revised in immaterial respects by ICANN from time to time</w:t>
      </w:r>
      <w:r w:rsidRPr="00E17A38">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6F9A42A" w14:textId="77777777" w:rsidR="007266B0" w:rsidRPr="007266B0" w:rsidRDefault="007266B0" w:rsidP="007266B0">
      <w:pPr>
        <w:rPr>
          <w:rFonts w:asciiTheme="majorHAnsi" w:eastAsia="MS Gothic" w:hAnsiTheme="majorHAnsi" w:cs="Cambria"/>
          <w:color w:val="000000"/>
          <w:sz w:val="24"/>
          <w:szCs w:val="24"/>
        </w:rPr>
      </w:pPr>
    </w:p>
    <w:p w14:paraId="61D08DB3" w14:textId="77777777" w:rsidR="007266B0" w:rsidRPr="007266B0" w:rsidRDefault="007266B0" w:rsidP="007266B0">
      <w:pPr>
        <w:rPr>
          <w:rFonts w:asciiTheme="majorHAnsi" w:eastAsia="MS Gothic" w:hAnsiTheme="majorHAnsi" w:cs="Cambria"/>
          <w:color w:val="000000"/>
          <w:sz w:val="24"/>
          <w:szCs w:val="24"/>
        </w:rPr>
        <w:sectPr w:rsidR="007266B0" w:rsidRPr="007266B0">
          <w:headerReference w:type="first" r:id="rId34"/>
          <w:pgSz w:w="12240" w:h="15840" w:code="1"/>
          <w:pgMar w:top="1440" w:right="1440" w:bottom="1440" w:left="1440" w:header="720" w:footer="720" w:gutter="0"/>
          <w:cols w:space="720"/>
          <w:formProt w:val="0"/>
          <w:titlePg/>
          <w:docGrid w:linePitch="360"/>
        </w:sectPr>
      </w:pPr>
    </w:p>
    <w:p w14:paraId="67F206A0" w14:textId="77777777" w:rsidR="003E1763" w:rsidRPr="003E1763" w:rsidRDefault="003E1763" w:rsidP="003E1763">
      <w:pPr>
        <w:pStyle w:val="Spec1L1"/>
        <w:numPr>
          <w:ilvl w:val="0"/>
          <w:numId w:val="0"/>
        </w:numPr>
        <w:tabs>
          <w:tab w:val="num" w:pos="720"/>
        </w:tabs>
        <w:rPr>
          <w:rFonts w:asciiTheme="majorHAnsi" w:hAnsiTheme="majorHAnsi"/>
          <w:strike/>
          <w:sz w:val="24"/>
          <w:szCs w:val="24"/>
        </w:rPr>
      </w:pPr>
      <w:r w:rsidRPr="003E1763">
        <w:rPr>
          <w:rStyle w:val="DeltaViewDeletion"/>
          <w:rFonts w:asciiTheme="majorHAnsi" w:eastAsia="MS Gothic" w:hAnsiTheme="majorHAnsi" w:cs="Cambria"/>
          <w:strike w:val="0"/>
          <w:color w:val="auto"/>
          <w:sz w:val="24"/>
          <w:szCs w:val="24"/>
        </w:rPr>
        <w:lastRenderedPageBreak/>
        <w:t>SPECIFICATION 12</w:t>
      </w:r>
      <w:r w:rsidRPr="003E1763">
        <w:rPr>
          <w:rStyle w:val="DeltaViewDeletion"/>
          <w:rFonts w:asciiTheme="majorHAnsi" w:eastAsia="MS Gothic" w:hAnsiTheme="majorHAnsi" w:cs="Cambria"/>
          <w:strike w:val="0"/>
          <w:color w:val="auto"/>
          <w:sz w:val="24"/>
          <w:szCs w:val="24"/>
        </w:rPr>
        <w:tab/>
      </w:r>
      <w:r w:rsidRPr="003E1763">
        <w:rPr>
          <w:rStyle w:val="DeltaViewDeletion"/>
          <w:rFonts w:asciiTheme="majorHAnsi" w:eastAsia="MS Gothic" w:hAnsiTheme="majorHAnsi"/>
          <w:strike w:val="0"/>
          <w:color w:val="auto"/>
          <w:sz w:val="24"/>
          <w:szCs w:val="24"/>
        </w:rPr>
        <w:br/>
      </w:r>
      <w:r w:rsidRPr="003E1763">
        <w:rPr>
          <w:rStyle w:val="DeltaViewDeletion"/>
          <w:rFonts w:asciiTheme="majorHAnsi" w:eastAsia="MS Gothic" w:hAnsiTheme="majorHAnsi"/>
          <w:strike w:val="0"/>
          <w:color w:val="auto"/>
          <w:sz w:val="24"/>
          <w:szCs w:val="24"/>
        </w:rPr>
        <w:br/>
      </w:r>
      <w:r w:rsidRPr="003E1763">
        <w:rPr>
          <w:rStyle w:val="DeltaViewDeletion"/>
          <w:rFonts w:asciiTheme="majorHAnsi" w:hAnsiTheme="majorHAnsi"/>
          <w:strike w:val="0"/>
          <w:color w:val="auto"/>
          <w:sz w:val="24"/>
          <w:szCs w:val="24"/>
        </w:rPr>
        <w:t>COMMUNITY REGISTRATION POLICIES</w:t>
      </w:r>
    </w:p>
    <w:p w14:paraId="4AF5294D" w14:textId="77777777" w:rsidR="003E1763" w:rsidRPr="003E1763" w:rsidRDefault="003E1763" w:rsidP="003E1763">
      <w:pPr>
        <w:pStyle w:val="BlockText"/>
        <w:rPr>
          <w:rStyle w:val="DeltaViewDeletion"/>
          <w:rFonts w:asciiTheme="majorHAnsi" w:hAnsiTheme="majorHAnsi"/>
          <w:strike w:val="0"/>
          <w:color w:val="auto"/>
          <w:sz w:val="24"/>
          <w:szCs w:val="24"/>
        </w:rPr>
      </w:pPr>
      <w:bookmarkStart w:id="5" w:name="_DV_C94"/>
      <w:r w:rsidRPr="003E1763">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5"/>
    </w:p>
    <w:p w14:paraId="6FC14A47" w14:textId="34C6486A" w:rsidR="003E1763" w:rsidRPr="003E1763" w:rsidRDefault="003E1763" w:rsidP="003E1763">
      <w:pPr>
        <w:pStyle w:val="BlockText"/>
        <w:rPr>
          <w:rFonts w:asciiTheme="majorHAnsi" w:eastAsia="DFKai-SB" w:hAnsiTheme="majorHAnsi" w:cs="Cambria"/>
          <w:sz w:val="24"/>
          <w:szCs w:val="24"/>
        </w:rPr>
      </w:pPr>
      <w:r w:rsidRPr="003E1763">
        <w:rPr>
          <w:rFonts w:asciiTheme="majorHAnsi" w:eastAsia="DFKai-SB" w:hAnsiTheme="majorHAnsi" w:cs="Cambria"/>
          <w:sz w:val="24"/>
          <w:szCs w:val="24"/>
        </w:rPr>
        <w:t>In the event Specification 12 conflicts with the requirements of any other provision of the Registry Agreement, such other provision shall govern.</w:t>
      </w:r>
    </w:p>
    <w:p w14:paraId="1894F089" w14:textId="77777777" w:rsidR="003E1763" w:rsidRPr="003E1763" w:rsidRDefault="003E1763" w:rsidP="003E1763">
      <w:pPr>
        <w:spacing w:before="100" w:beforeAutospacing="1" w:after="100" w:afterAutospacing="1"/>
        <w:rPr>
          <w:rFonts w:asciiTheme="majorHAnsi" w:hAnsiTheme="majorHAnsi"/>
          <w:b/>
          <w:sz w:val="24"/>
          <w:szCs w:val="24"/>
        </w:rPr>
      </w:pPr>
      <w:r w:rsidRPr="003E1763">
        <w:rPr>
          <w:rFonts w:asciiTheme="majorHAnsi" w:hAnsiTheme="majorHAnsi"/>
          <w:b/>
          <w:sz w:val="24"/>
          <w:szCs w:val="24"/>
        </w:rPr>
        <w:t>Eligibility</w:t>
      </w:r>
    </w:p>
    <w:p w14:paraId="24DC65C7"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Eligibility requirement policies will be developed according to the definition of the Basque linguistic and cultural community, and a diversity of proceedings will be implemented to ensure accommodation of all its bona fide members</w:t>
      </w:r>
    </w:p>
    <w:p w14:paraId="36394B00" w14:textId="43153E55" w:rsidR="003E1763" w:rsidRPr="003E1763" w:rsidRDefault="003E1763" w:rsidP="003E1763">
      <w:pPr>
        <w:spacing w:before="100" w:beforeAutospacing="1" w:after="100" w:afterAutospacing="1"/>
        <w:rPr>
          <w:rFonts w:asciiTheme="majorHAnsi" w:hAnsiTheme="majorHAnsi"/>
          <w:sz w:val="24"/>
          <w:szCs w:val="24"/>
        </w:rPr>
      </w:pPr>
      <w:r>
        <w:rPr>
          <w:rFonts w:asciiTheme="majorHAnsi" w:hAnsiTheme="majorHAnsi"/>
          <w:sz w:val="24"/>
          <w:szCs w:val="24"/>
        </w:rPr>
        <w:t xml:space="preserve">Registrations under the </w:t>
      </w:r>
      <w:r w:rsidRPr="003E1763">
        <w:rPr>
          <w:rFonts w:asciiTheme="majorHAnsi" w:hAnsiTheme="majorHAnsi"/>
          <w:sz w:val="24"/>
          <w:szCs w:val="24"/>
        </w:rPr>
        <w:t>TLD are restricted to those fulfilling these two requirements:</w:t>
      </w:r>
    </w:p>
    <w:p w14:paraId="4EFF1252"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a) bona-fide membership of the Basque linguistic and cultural community on the Internet. The community, consists of those who use (or commit to use) the Basque language for their online communications, and/or promote the different aspects of Basque culture online, and/or intend to specifically address their online communications and services to that community.</w:t>
      </w:r>
    </w:p>
    <w:p w14:paraId="2A6EAD08" w14:textId="77777777" w:rsidR="003E1763" w:rsidRPr="003E1763" w:rsidRDefault="003E1763" w:rsidP="003E1763">
      <w:pPr>
        <w:spacing w:before="100" w:beforeAutospacing="1" w:after="100" w:afterAutospacing="1"/>
        <w:rPr>
          <w:rFonts w:asciiTheme="majorHAnsi" w:hAnsiTheme="majorHAnsi"/>
          <w:sz w:val="24"/>
          <w:szCs w:val="24"/>
        </w:rPr>
      </w:pPr>
      <w:proofErr w:type="gramStart"/>
      <w:r w:rsidRPr="003E1763">
        <w:rPr>
          <w:rFonts w:asciiTheme="majorHAnsi" w:hAnsiTheme="majorHAnsi"/>
          <w:sz w:val="24"/>
          <w:szCs w:val="24"/>
        </w:rPr>
        <w:t>b</w:t>
      </w:r>
      <w:proofErr w:type="gramEnd"/>
      <w:r w:rsidRPr="003E1763">
        <w:rPr>
          <w:rFonts w:asciiTheme="majorHAnsi" w:hAnsiTheme="majorHAnsi"/>
          <w:sz w:val="24"/>
          <w:szCs w:val="24"/>
        </w:rPr>
        <w:t>) subject to the further requirement that the registrant’s actions in the Basque linguistic and cultural community, as well as the registrant’s use of the registered domain name, must be:</w:t>
      </w:r>
    </w:p>
    <w:p w14:paraId="72F0CC31" w14:textId="0A10189F" w:rsidR="003E1763" w:rsidRPr="003E1763" w:rsidRDefault="00F334BC" w:rsidP="00F334BC">
      <w:pPr>
        <w:spacing w:before="100" w:beforeAutospacing="1" w:after="100" w:afterAutospacing="1"/>
        <w:ind w:left="720"/>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i</w:t>
      </w:r>
      <w:proofErr w:type="spellEnd"/>
      <w:r>
        <w:rPr>
          <w:rFonts w:asciiTheme="majorHAnsi" w:hAnsiTheme="majorHAnsi"/>
          <w:sz w:val="24"/>
          <w:szCs w:val="24"/>
        </w:rPr>
        <w:t xml:space="preserve">)  </w:t>
      </w:r>
      <w:proofErr w:type="gramStart"/>
      <w:r w:rsidR="003E1763" w:rsidRPr="003E1763">
        <w:rPr>
          <w:rFonts w:asciiTheme="majorHAnsi" w:hAnsiTheme="majorHAnsi"/>
          <w:sz w:val="24"/>
          <w:szCs w:val="24"/>
        </w:rPr>
        <w:t>generally</w:t>
      </w:r>
      <w:proofErr w:type="gramEnd"/>
      <w:r w:rsidR="003E1763" w:rsidRPr="003E1763">
        <w:rPr>
          <w:rFonts w:asciiTheme="majorHAnsi" w:hAnsiTheme="majorHAnsi"/>
          <w:sz w:val="24"/>
          <w:szCs w:val="24"/>
        </w:rPr>
        <w:t xml:space="preserve"> accepted as legitimate; and</w:t>
      </w:r>
    </w:p>
    <w:p w14:paraId="1AD66E29" w14:textId="16F0341B" w:rsidR="003E1763" w:rsidRPr="003E1763" w:rsidRDefault="00F334BC" w:rsidP="00F334BC">
      <w:pPr>
        <w:spacing w:before="100" w:beforeAutospacing="1" w:after="100" w:afterAutospacing="1"/>
        <w:ind w:left="720"/>
        <w:rPr>
          <w:rFonts w:asciiTheme="majorHAnsi" w:hAnsiTheme="majorHAnsi"/>
          <w:sz w:val="24"/>
          <w:szCs w:val="24"/>
        </w:rPr>
      </w:pPr>
      <w:r>
        <w:rPr>
          <w:rFonts w:asciiTheme="majorHAnsi" w:hAnsiTheme="majorHAnsi"/>
          <w:sz w:val="24"/>
          <w:szCs w:val="24"/>
        </w:rPr>
        <w:t xml:space="preserve">(ii) </w:t>
      </w:r>
      <w:proofErr w:type="gramStart"/>
      <w:r w:rsidR="003E1763" w:rsidRPr="003E1763">
        <w:rPr>
          <w:rFonts w:asciiTheme="majorHAnsi" w:hAnsiTheme="majorHAnsi"/>
          <w:sz w:val="24"/>
          <w:szCs w:val="24"/>
        </w:rPr>
        <w:t>beneficial</w:t>
      </w:r>
      <w:proofErr w:type="gramEnd"/>
      <w:r w:rsidR="003E1763" w:rsidRPr="003E1763">
        <w:rPr>
          <w:rFonts w:asciiTheme="majorHAnsi" w:hAnsiTheme="majorHAnsi"/>
          <w:sz w:val="24"/>
          <w:szCs w:val="24"/>
        </w:rPr>
        <w:t xml:space="preserve"> to the cause and the values of the Basque linguistic and cultural community; and</w:t>
      </w:r>
    </w:p>
    <w:p w14:paraId="2F4CE633" w14:textId="77777777" w:rsidR="003E1763" w:rsidRPr="003E1763" w:rsidRDefault="003E1763" w:rsidP="00F334BC">
      <w:pPr>
        <w:spacing w:before="100" w:beforeAutospacing="1" w:after="100" w:afterAutospacing="1"/>
        <w:ind w:left="720"/>
        <w:rPr>
          <w:rFonts w:asciiTheme="majorHAnsi" w:hAnsiTheme="majorHAnsi"/>
          <w:sz w:val="24"/>
          <w:szCs w:val="24"/>
        </w:rPr>
      </w:pPr>
      <w:r w:rsidRPr="003E1763">
        <w:rPr>
          <w:rFonts w:asciiTheme="majorHAnsi" w:hAnsiTheme="majorHAnsi"/>
          <w:sz w:val="24"/>
          <w:szCs w:val="24"/>
        </w:rPr>
        <w:t xml:space="preserve">(iii) </w:t>
      </w:r>
      <w:proofErr w:type="gramStart"/>
      <w:r w:rsidRPr="003E1763">
        <w:rPr>
          <w:rFonts w:asciiTheme="majorHAnsi" w:hAnsiTheme="majorHAnsi"/>
          <w:sz w:val="24"/>
          <w:szCs w:val="24"/>
        </w:rPr>
        <w:t>commensurate</w:t>
      </w:r>
      <w:proofErr w:type="gramEnd"/>
      <w:r w:rsidRPr="003E1763">
        <w:rPr>
          <w:rFonts w:asciiTheme="majorHAnsi" w:hAnsiTheme="majorHAnsi"/>
          <w:sz w:val="24"/>
          <w:szCs w:val="24"/>
        </w:rPr>
        <w:t xml:space="preserve"> with the role and importance of the registered  domain name; and</w:t>
      </w:r>
    </w:p>
    <w:p w14:paraId="3427FB0F" w14:textId="180BB5B8" w:rsidR="003E1763" w:rsidRPr="003E1763" w:rsidRDefault="003E1763" w:rsidP="00F334BC">
      <w:pPr>
        <w:spacing w:before="100" w:beforeAutospacing="1" w:after="100" w:afterAutospacing="1"/>
        <w:ind w:left="720"/>
        <w:rPr>
          <w:rFonts w:asciiTheme="majorHAnsi" w:hAnsiTheme="majorHAnsi"/>
          <w:sz w:val="24"/>
          <w:szCs w:val="24"/>
        </w:rPr>
      </w:pPr>
      <w:r w:rsidRPr="003E1763">
        <w:rPr>
          <w:rFonts w:asciiTheme="majorHAnsi" w:hAnsiTheme="majorHAnsi"/>
          <w:sz w:val="24"/>
          <w:szCs w:val="24"/>
        </w:rPr>
        <w:t xml:space="preserve">(iv) </w:t>
      </w:r>
      <w:proofErr w:type="gramStart"/>
      <w:r w:rsidRPr="003E1763">
        <w:rPr>
          <w:rFonts w:asciiTheme="majorHAnsi" w:hAnsiTheme="majorHAnsi"/>
          <w:sz w:val="24"/>
          <w:szCs w:val="24"/>
        </w:rPr>
        <w:t>in</w:t>
      </w:r>
      <w:proofErr w:type="gramEnd"/>
      <w:r w:rsidRPr="003E1763">
        <w:rPr>
          <w:rFonts w:asciiTheme="majorHAnsi" w:hAnsiTheme="majorHAnsi"/>
          <w:sz w:val="24"/>
          <w:szCs w:val="24"/>
        </w:rPr>
        <w:t xml:space="preserve"> good faith at the time of registration and thereafter.</w:t>
      </w:r>
    </w:p>
    <w:p w14:paraId="7CD741B1"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These conditions must always be fulfilled. The strength of the validation is kept in line with the importance of the underlying domain name based on the assumption that a typical user would reasonably make.</w:t>
      </w:r>
    </w:p>
    <w:p w14:paraId="69001BEF"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To facilitate validation, registrants are required to state their intended use of the registered domain name. A false statement of intended use is an indication of bad faith and can be the basis for the suspension of the domain name. </w:t>
      </w:r>
    </w:p>
    <w:p w14:paraId="443C8ABF"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lastRenderedPageBreak/>
        <w:t>The validation may be assisted through pre-identification of potential registrants using existing community channels, through membership of qualified Organizations or the distribution of Promotion Codes to members.</w:t>
      </w:r>
    </w:p>
    <w:p w14:paraId="61A3A2F1"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After the launch phase, the validation mode goes from pre-validation to post-validation with statistically targeted random validation, backed up by </w:t>
      </w:r>
      <w:proofErr w:type="spellStart"/>
      <w:proofErr w:type="gramStart"/>
      <w:r w:rsidRPr="003E1763">
        <w:rPr>
          <w:rFonts w:asciiTheme="majorHAnsi" w:hAnsiTheme="majorHAnsi"/>
          <w:sz w:val="24"/>
          <w:szCs w:val="24"/>
        </w:rPr>
        <w:t>a</w:t>
      </w:r>
      <w:proofErr w:type="spellEnd"/>
      <w:proofErr w:type="gramEnd"/>
      <w:r w:rsidRPr="003E1763">
        <w:rPr>
          <w:rFonts w:asciiTheme="majorHAnsi" w:hAnsiTheme="majorHAnsi"/>
          <w:sz w:val="24"/>
          <w:szCs w:val="24"/>
        </w:rPr>
        <w:t xml:space="preserve"> ongoing enforcement program.</w:t>
      </w:r>
    </w:p>
    <w:p w14:paraId="5DAEE46C"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p>
    <w:p w14:paraId="197DDA27" w14:textId="5BB895B0" w:rsidR="003E1763" w:rsidRPr="003E1763" w:rsidRDefault="003E1763" w:rsidP="003E1763">
      <w:pPr>
        <w:spacing w:before="100" w:beforeAutospacing="1" w:after="100" w:afterAutospacing="1"/>
        <w:rPr>
          <w:rFonts w:asciiTheme="majorHAnsi" w:hAnsiTheme="majorHAnsi"/>
          <w:b/>
          <w:sz w:val="24"/>
          <w:szCs w:val="24"/>
        </w:rPr>
      </w:pPr>
      <w:r>
        <w:rPr>
          <w:rFonts w:asciiTheme="majorHAnsi" w:hAnsiTheme="majorHAnsi"/>
          <w:b/>
          <w:sz w:val="24"/>
          <w:szCs w:val="24"/>
        </w:rPr>
        <w:t>Name</w:t>
      </w:r>
      <w:r w:rsidRPr="003E1763">
        <w:rPr>
          <w:rFonts w:asciiTheme="majorHAnsi" w:hAnsiTheme="majorHAnsi"/>
          <w:b/>
          <w:sz w:val="24"/>
          <w:szCs w:val="24"/>
        </w:rPr>
        <w:t xml:space="preserve"> Selection</w:t>
      </w:r>
    </w:p>
    <w:p w14:paraId="0C26D89F"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The fundamental rule on which name selection is based is part of the policy principles: the domain names may be registered considering the registrant‘s relationship to the Basque linguistic and cultural community, and the use of the domain name must be commensurate to the role and importance of the domain name. </w:t>
      </w:r>
    </w:p>
    <w:p w14:paraId="4951060E"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The role and importance of the domain name registrations is based on the meaning an average user would reasonably make of a domain name in the context of the Basque linguistic and cultural community. </w:t>
      </w:r>
    </w:p>
    <w:p w14:paraId="44622D10" w14:textId="77777777" w:rsidR="003E1763" w:rsidRPr="003E1763" w:rsidRDefault="003E1763" w:rsidP="003E1763">
      <w:pPr>
        <w:spacing w:before="100" w:beforeAutospacing="1" w:after="100" w:afterAutospacing="1"/>
        <w:rPr>
          <w:rFonts w:asciiTheme="majorHAnsi" w:hAnsiTheme="majorHAnsi"/>
          <w:b/>
          <w:sz w:val="24"/>
          <w:szCs w:val="24"/>
        </w:rPr>
      </w:pPr>
      <w:r w:rsidRPr="003E1763">
        <w:rPr>
          <w:rFonts w:asciiTheme="majorHAnsi" w:hAnsiTheme="majorHAnsi"/>
          <w:b/>
          <w:sz w:val="24"/>
          <w:szCs w:val="24"/>
        </w:rPr>
        <w:t>Content Use</w:t>
      </w:r>
    </w:p>
    <w:p w14:paraId="0567A0D3" w14:textId="4DED2228" w:rsidR="003E1763" w:rsidRPr="003E1763" w:rsidRDefault="003E1763" w:rsidP="003E1763">
      <w:pPr>
        <w:spacing w:before="100" w:beforeAutospacing="1" w:after="100" w:afterAutospacing="1"/>
        <w:rPr>
          <w:rFonts w:asciiTheme="majorHAnsi" w:hAnsiTheme="majorHAnsi"/>
          <w:sz w:val="24"/>
          <w:szCs w:val="24"/>
        </w:rPr>
      </w:pPr>
      <w:proofErr w:type="spellStart"/>
      <w:r>
        <w:rPr>
          <w:rFonts w:asciiTheme="majorHAnsi" w:hAnsiTheme="majorHAnsi"/>
          <w:sz w:val="24"/>
          <w:szCs w:val="24"/>
        </w:rPr>
        <w:t>Puntueus</w:t>
      </w:r>
      <w:proofErr w:type="spellEnd"/>
      <w:r>
        <w:rPr>
          <w:rFonts w:asciiTheme="majorHAnsi" w:hAnsiTheme="majorHAnsi"/>
          <w:sz w:val="24"/>
          <w:szCs w:val="24"/>
        </w:rPr>
        <w:t xml:space="preserve"> </w:t>
      </w:r>
      <w:proofErr w:type="spellStart"/>
      <w:r>
        <w:rPr>
          <w:rFonts w:asciiTheme="majorHAnsi" w:hAnsiTheme="majorHAnsi"/>
          <w:sz w:val="24"/>
          <w:szCs w:val="24"/>
        </w:rPr>
        <w:t>Fundazioa</w:t>
      </w:r>
      <w:proofErr w:type="spellEnd"/>
      <w:r>
        <w:rPr>
          <w:rFonts w:asciiTheme="majorHAnsi" w:hAnsiTheme="majorHAnsi"/>
          <w:sz w:val="24"/>
          <w:szCs w:val="24"/>
        </w:rPr>
        <w:t>, as the</w:t>
      </w:r>
      <w:r w:rsidRPr="003E1763">
        <w:rPr>
          <w:rFonts w:asciiTheme="majorHAnsi" w:hAnsiTheme="majorHAnsi"/>
          <w:sz w:val="24"/>
          <w:szCs w:val="24"/>
        </w:rPr>
        <w:t xml:space="preserve"> Registry Operator, will adopt policies to ensure that the </w:t>
      </w:r>
      <w:proofErr w:type="gramStart"/>
      <w:r w:rsidRPr="003E1763">
        <w:rPr>
          <w:rFonts w:asciiTheme="majorHAnsi" w:hAnsiTheme="majorHAnsi"/>
          <w:sz w:val="24"/>
          <w:szCs w:val="24"/>
        </w:rPr>
        <w:t>use of the domain names are</w:t>
      </w:r>
      <w:proofErr w:type="gramEnd"/>
      <w:r w:rsidRPr="003E1763">
        <w:rPr>
          <w:rFonts w:asciiTheme="majorHAnsi" w:hAnsiTheme="majorHAnsi"/>
          <w:sz w:val="24"/>
          <w:szCs w:val="24"/>
        </w:rPr>
        <w:t>:</w:t>
      </w:r>
    </w:p>
    <w:p w14:paraId="7391623E" w14:textId="4BDEB5A8" w:rsidR="003E1763" w:rsidRPr="003E1763" w:rsidRDefault="00F334BC" w:rsidP="003E1763">
      <w:pPr>
        <w:spacing w:before="100" w:beforeAutospacing="1" w:after="100" w:afterAutospacing="1"/>
        <w:rPr>
          <w:rFonts w:asciiTheme="majorHAnsi" w:hAnsiTheme="majorHAnsi"/>
          <w:sz w:val="24"/>
          <w:szCs w:val="24"/>
        </w:rPr>
      </w:pPr>
      <w:r>
        <w:rPr>
          <w:rFonts w:asciiTheme="majorHAnsi" w:hAnsiTheme="majorHAnsi"/>
          <w:sz w:val="24"/>
          <w:szCs w:val="24"/>
        </w:rPr>
        <w:t xml:space="preserve">a) </w:t>
      </w:r>
      <w:r w:rsidR="003E1763" w:rsidRPr="003E1763">
        <w:rPr>
          <w:rFonts w:asciiTheme="majorHAnsi" w:hAnsiTheme="majorHAnsi"/>
          <w:sz w:val="24"/>
          <w:szCs w:val="24"/>
        </w:rPr>
        <w:t xml:space="preserve"> </w:t>
      </w:r>
      <w:proofErr w:type="gramStart"/>
      <w:r w:rsidR="003E1763" w:rsidRPr="003E1763">
        <w:rPr>
          <w:rFonts w:asciiTheme="majorHAnsi" w:hAnsiTheme="majorHAnsi"/>
          <w:sz w:val="24"/>
          <w:szCs w:val="24"/>
        </w:rPr>
        <w:t>generally</w:t>
      </w:r>
      <w:proofErr w:type="gramEnd"/>
      <w:r w:rsidR="003E1763" w:rsidRPr="003E1763">
        <w:rPr>
          <w:rFonts w:asciiTheme="majorHAnsi" w:hAnsiTheme="majorHAnsi"/>
          <w:sz w:val="24"/>
          <w:szCs w:val="24"/>
        </w:rPr>
        <w:t xml:space="preserve"> accepted as legitimate; and</w:t>
      </w:r>
    </w:p>
    <w:p w14:paraId="2B72C914" w14:textId="25F7E0D5" w:rsidR="003E1763" w:rsidRPr="003E1763" w:rsidRDefault="00F334BC" w:rsidP="003E1763">
      <w:pPr>
        <w:spacing w:before="100" w:beforeAutospacing="1" w:after="100" w:afterAutospacing="1"/>
        <w:rPr>
          <w:rFonts w:asciiTheme="majorHAnsi" w:hAnsiTheme="majorHAnsi"/>
          <w:sz w:val="24"/>
          <w:szCs w:val="24"/>
        </w:rPr>
      </w:pPr>
      <w:r>
        <w:rPr>
          <w:rFonts w:asciiTheme="majorHAnsi" w:hAnsiTheme="majorHAnsi"/>
          <w:sz w:val="24"/>
          <w:szCs w:val="24"/>
        </w:rPr>
        <w:t xml:space="preserve">b) </w:t>
      </w:r>
      <w:proofErr w:type="gramStart"/>
      <w:r w:rsidR="003E1763" w:rsidRPr="003E1763">
        <w:rPr>
          <w:rFonts w:asciiTheme="majorHAnsi" w:hAnsiTheme="majorHAnsi"/>
          <w:sz w:val="24"/>
          <w:szCs w:val="24"/>
        </w:rPr>
        <w:t>beneficial</w:t>
      </w:r>
      <w:proofErr w:type="gramEnd"/>
      <w:r w:rsidR="003E1763" w:rsidRPr="003E1763">
        <w:rPr>
          <w:rFonts w:asciiTheme="majorHAnsi" w:hAnsiTheme="majorHAnsi"/>
          <w:sz w:val="24"/>
          <w:szCs w:val="24"/>
        </w:rPr>
        <w:t xml:space="preserve"> to the cause and the values of the Basque linguistic and cultural community; and</w:t>
      </w:r>
    </w:p>
    <w:p w14:paraId="6D98D51C" w14:textId="0B87F5B5" w:rsidR="003E1763" w:rsidRPr="003E1763" w:rsidRDefault="00F334BC" w:rsidP="003E1763">
      <w:pPr>
        <w:spacing w:before="100" w:beforeAutospacing="1" w:after="100" w:afterAutospacing="1"/>
        <w:rPr>
          <w:rFonts w:asciiTheme="majorHAnsi" w:hAnsiTheme="majorHAnsi"/>
          <w:sz w:val="24"/>
          <w:szCs w:val="24"/>
        </w:rPr>
      </w:pPr>
      <w:r>
        <w:rPr>
          <w:rFonts w:asciiTheme="majorHAnsi" w:hAnsiTheme="majorHAnsi"/>
          <w:sz w:val="24"/>
          <w:szCs w:val="24"/>
        </w:rPr>
        <w:t xml:space="preserve">c) </w:t>
      </w:r>
      <w:proofErr w:type="gramStart"/>
      <w:r w:rsidR="003E1763" w:rsidRPr="003E1763">
        <w:rPr>
          <w:rFonts w:asciiTheme="majorHAnsi" w:hAnsiTheme="majorHAnsi"/>
          <w:sz w:val="24"/>
          <w:szCs w:val="24"/>
        </w:rPr>
        <w:t>in</w:t>
      </w:r>
      <w:proofErr w:type="gramEnd"/>
      <w:r w:rsidR="003E1763" w:rsidRPr="003E1763">
        <w:rPr>
          <w:rFonts w:asciiTheme="majorHAnsi" w:hAnsiTheme="majorHAnsi"/>
          <w:sz w:val="24"/>
          <w:szCs w:val="24"/>
        </w:rPr>
        <w:t xml:space="preserve"> good faith at the time of registration and thereafter.</w:t>
      </w:r>
    </w:p>
    <w:p w14:paraId="1B349301"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This will be verified according to:</w:t>
      </w:r>
    </w:p>
    <w:p w14:paraId="4AF83C58" w14:textId="19299C7F" w:rsidR="003E1763" w:rsidRPr="003E1763" w:rsidRDefault="00F334BC" w:rsidP="003E1763">
      <w:pPr>
        <w:spacing w:before="100" w:beforeAutospacing="1" w:after="100" w:afterAutospacing="1"/>
        <w:rPr>
          <w:rFonts w:asciiTheme="majorHAnsi" w:hAnsiTheme="majorHAnsi"/>
          <w:sz w:val="24"/>
          <w:szCs w:val="24"/>
        </w:rPr>
      </w:pPr>
      <w:r>
        <w:rPr>
          <w:rFonts w:asciiTheme="majorHAnsi" w:hAnsiTheme="majorHAnsi"/>
          <w:sz w:val="24"/>
          <w:szCs w:val="24"/>
        </w:rPr>
        <w:t>a</w:t>
      </w:r>
      <w:r w:rsidR="003E1763" w:rsidRPr="003E1763">
        <w:rPr>
          <w:rFonts w:asciiTheme="majorHAnsi" w:hAnsiTheme="majorHAnsi"/>
          <w:sz w:val="24"/>
          <w:szCs w:val="24"/>
        </w:rPr>
        <w:t xml:space="preserve">) </w:t>
      </w:r>
      <w:proofErr w:type="gramStart"/>
      <w:r w:rsidR="003E1763" w:rsidRPr="003E1763">
        <w:rPr>
          <w:rFonts w:asciiTheme="majorHAnsi" w:hAnsiTheme="majorHAnsi"/>
          <w:sz w:val="24"/>
          <w:szCs w:val="24"/>
        </w:rPr>
        <w:t>the</w:t>
      </w:r>
      <w:proofErr w:type="gramEnd"/>
      <w:r w:rsidR="003E1763" w:rsidRPr="003E1763">
        <w:rPr>
          <w:rFonts w:asciiTheme="majorHAnsi" w:hAnsiTheme="majorHAnsi"/>
          <w:sz w:val="24"/>
          <w:szCs w:val="24"/>
        </w:rPr>
        <w:t xml:space="preserve"> intended use statement supplied by the domain registrant at the time of registration and/or the explicit agreement to the terms and conditions including the TLD use policies.</w:t>
      </w:r>
    </w:p>
    <w:p w14:paraId="0FD19268" w14:textId="0DB7107F" w:rsidR="003E1763" w:rsidRDefault="00F334BC" w:rsidP="003E1763">
      <w:pPr>
        <w:spacing w:before="100" w:beforeAutospacing="1" w:after="100" w:afterAutospacing="1"/>
        <w:rPr>
          <w:rFonts w:asciiTheme="majorHAnsi" w:hAnsiTheme="majorHAnsi"/>
          <w:sz w:val="24"/>
          <w:szCs w:val="24"/>
        </w:rPr>
      </w:pPr>
      <w:r>
        <w:rPr>
          <w:rFonts w:asciiTheme="majorHAnsi" w:hAnsiTheme="majorHAnsi"/>
          <w:sz w:val="24"/>
          <w:szCs w:val="24"/>
        </w:rPr>
        <w:t>b</w:t>
      </w:r>
      <w:r w:rsidR="003E1763" w:rsidRPr="003E1763">
        <w:rPr>
          <w:rFonts w:asciiTheme="majorHAnsi" w:hAnsiTheme="majorHAnsi"/>
          <w:sz w:val="24"/>
          <w:szCs w:val="24"/>
        </w:rPr>
        <w:t xml:space="preserve">) </w:t>
      </w:r>
      <w:proofErr w:type="gramStart"/>
      <w:r w:rsidR="003E1763" w:rsidRPr="003E1763">
        <w:rPr>
          <w:rFonts w:asciiTheme="majorHAnsi" w:hAnsiTheme="majorHAnsi"/>
          <w:sz w:val="24"/>
          <w:szCs w:val="24"/>
        </w:rPr>
        <w:t>an</w:t>
      </w:r>
      <w:proofErr w:type="gramEnd"/>
      <w:r w:rsidR="003E1763" w:rsidRPr="003E1763">
        <w:rPr>
          <w:rFonts w:asciiTheme="majorHAnsi" w:hAnsiTheme="majorHAnsi"/>
          <w:sz w:val="24"/>
          <w:szCs w:val="24"/>
        </w:rPr>
        <w:t xml:space="preserve"> ongoing enforcement program.</w:t>
      </w:r>
    </w:p>
    <w:p w14:paraId="3ADEED42" w14:textId="77777777" w:rsidR="003E1763" w:rsidRDefault="003E1763" w:rsidP="003E1763">
      <w:pPr>
        <w:spacing w:before="100" w:beforeAutospacing="1" w:after="100" w:afterAutospacing="1"/>
        <w:rPr>
          <w:rFonts w:asciiTheme="majorHAnsi" w:hAnsiTheme="majorHAnsi"/>
          <w:sz w:val="24"/>
          <w:szCs w:val="24"/>
        </w:rPr>
      </w:pPr>
    </w:p>
    <w:p w14:paraId="1540DEC3" w14:textId="77777777" w:rsidR="003E1763" w:rsidRPr="003E1763" w:rsidRDefault="003E1763" w:rsidP="003E1763">
      <w:pPr>
        <w:spacing w:before="100" w:beforeAutospacing="1" w:after="100" w:afterAutospacing="1"/>
        <w:rPr>
          <w:rFonts w:asciiTheme="majorHAnsi" w:hAnsiTheme="majorHAnsi"/>
          <w:sz w:val="24"/>
          <w:szCs w:val="24"/>
        </w:rPr>
      </w:pPr>
    </w:p>
    <w:p w14:paraId="35865F3E" w14:textId="77777777" w:rsidR="003E1763" w:rsidRPr="003E1763" w:rsidRDefault="003E1763" w:rsidP="003E1763">
      <w:pPr>
        <w:spacing w:before="100" w:beforeAutospacing="1" w:after="100" w:afterAutospacing="1"/>
        <w:rPr>
          <w:rFonts w:asciiTheme="majorHAnsi" w:hAnsiTheme="majorHAnsi"/>
          <w:b/>
          <w:sz w:val="24"/>
          <w:szCs w:val="24"/>
        </w:rPr>
      </w:pPr>
      <w:r w:rsidRPr="003E1763">
        <w:rPr>
          <w:rFonts w:asciiTheme="majorHAnsi" w:hAnsiTheme="majorHAnsi"/>
          <w:b/>
          <w:sz w:val="24"/>
          <w:szCs w:val="24"/>
        </w:rPr>
        <w:lastRenderedPageBreak/>
        <w:t>Enforcement</w:t>
      </w:r>
    </w:p>
    <w:p w14:paraId="7F00ABA1" w14:textId="44F3795C"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The purpose of the enforcement program is to protect the credibility of the TLD for its local and international public. In particular, upholds the </w:t>
      </w:r>
      <w:r>
        <w:rPr>
          <w:rFonts w:asciiTheme="majorHAnsi" w:hAnsiTheme="majorHAnsi"/>
          <w:sz w:val="24"/>
          <w:szCs w:val="24"/>
        </w:rPr>
        <w:t>community-based purpose of the</w:t>
      </w:r>
      <w:r w:rsidRPr="003E1763">
        <w:rPr>
          <w:rFonts w:asciiTheme="majorHAnsi" w:hAnsiTheme="majorHAnsi"/>
          <w:sz w:val="24"/>
          <w:szCs w:val="24"/>
        </w:rPr>
        <w:t xml:space="preserve"> TLD and helps prevent misuse or malicious behavior.</w:t>
      </w:r>
    </w:p>
    <w:p w14:paraId="57C54516" w14:textId="1E0641FB"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The enforcement program is based on statistically targeted random investigations and on a complaint follow-up process. The statistical targeting is strongly automated and involves the use of sear</w:t>
      </w:r>
      <w:r w:rsidR="00066C6C">
        <w:rPr>
          <w:rFonts w:asciiTheme="majorHAnsi" w:hAnsiTheme="majorHAnsi"/>
          <w:sz w:val="24"/>
          <w:szCs w:val="24"/>
        </w:rPr>
        <w:t>ch engines and the analysis of r</w:t>
      </w:r>
      <w:r w:rsidRPr="003E1763">
        <w:rPr>
          <w:rFonts w:asciiTheme="majorHAnsi" w:hAnsiTheme="majorHAnsi"/>
          <w:sz w:val="24"/>
          <w:szCs w:val="24"/>
        </w:rPr>
        <w:t xml:space="preserve">egistry data related to behavior of registrants. </w:t>
      </w:r>
    </w:p>
    <w:p w14:paraId="45F831BC" w14:textId="77777777"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Depending on the type of misuse to be investigated, web site content or content sent to victims of abuse will reviewed and analyzed by investigators. </w:t>
      </w:r>
    </w:p>
    <w:p w14:paraId="5D98E3D8" w14:textId="7A3AA780"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Enhanced investigation takes place if the registrant has a bad track record in terms of compli</w:t>
      </w:r>
      <w:r>
        <w:rPr>
          <w:rFonts w:asciiTheme="majorHAnsi" w:hAnsiTheme="majorHAnsi"/>
          <w:sz w:val="24"/>
          <w:szCs w:val="24"/>
        </w:rPr>
        <w:t xml:space="preserve">ance with the rules of the </w:t>
      </w:r>
      <w:r w:rsidRPr="003E1763">
        <w:rPr>
          <w:rFonts w:asciiTheme="majorHAnsi" w:hAnsiTheme="majorHAnsi"/>
          <w:sz w:val="24"/>
          <w:szCs w:val="24"/>
        </w:rPr>
        <w:t>TLD.  Other violations of public record (such as UDRP or URS cases) will also be taken into account.</w:t>
      </w:r>
    </w:p>
    <w:p w14:paraId="4D69BA8C" w14:textId="3CC54B93"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 xml:space="preserve">If content or </w:t>
      </w:r>
      <w:proofErr w:type="gramStart"/>
      <w:r w:rsidRPr="003E1763">
        <w:rPr>
          <w:rFonts w:asciiTheme="majorHAnsi" w:hAnsiTheme="majorHAnsi"/>
          <w:sz w:val="24"/>
          <w:szCs w:val="24"/>
        </w:rPr>
        <w:t xml:space="preserve">use of an existing </w:t>
      </w:r>
      <w:r>
        <w:rPr>
          <w:rFonts w:asciiTheme="majorHAnsi" w:hAnsiTheme="majorHAnsi"/>
          <w:sz w:val="24"/>
          <w:szCs w:val="24"/>
        </w:rPr>
        <w:t>TLD</w:t>
      </w:r>
      <w:r w:rsidRPr="003E1763">
        <w:rPr>
          <w:rFonts w:asciiTheme="majorHAnsi" w:hAnsiTheme="majorHAnsi"/>
          <w:sz w:val="24"/>
          <w:szCs w:val="24"/>
        </w:rPr>
        <w:t xml:space="preserve"> domain name demonstrate</w:t>
      </w:r>
      <w:proofErr w:type="gramEnd"/>
      <w:r w:rsidRPr="003E1763">
        <w:rPr>
          <w:rFonts w:asciiTheme="majorHAnsi" w:hAnsiTheme="majorHAnsi"/>
          <w:sz w:val="24"/>
          <w:szCs w:val="24"/>
        </w:rPr>
        <w:t xml:space="preserve"> that the registrant has shown bad faith by stating a false intended use, the domain name is suspended.</w:t>
      </w:r>
    </w:p>
    <w:p w14:paraId="6C2667F8" w14:textId="4007874D"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If a registrar is complicit with s</w:t>
      </w:r>
      <w:r>
        <w:rPr>
          <w:rFonts w:asciiTheme="majorHAnsi" w:hAnsiTheme="majorHAnsi"/>
          <w:sz w:val="24"/>
          <w:szCs w:val="24"/>
        </w:rPr>
        <w:t xml:space="preserve">ystematic violations of the </w:t>
      </w:r>
      <w:r w:rsidRPr="003E1763">
        <w:rPr>
          <w:rFonts w:asciiTheme="majorHAnsi" w:hAnsiTheme="majorHAnsi"/>
          <w:sz w:val="24"/>
          <w:szCs w:val="24"/>
        </w:rPr>
        <w:t xml:space="preserve">TLD policies or causes an unacceptable burden for the validation and enforcement program by negligence, the Registry </w:t>
      </w:r>
      <w:r w:rsidR="00066C6C">
        <w:rPr>
          <w:rFonts w:asciiTheme="majorHAnsi" w:hAnsiTheme="majorHAnsi"/>
          <w:sz w:val="24"/>
          <w:szCs w:val="24"/>
        </w:rPr>
        <w:t xml:space="preserve">Operator </w:t>
      </w:r>
      <w:r w:rsidRPr="003E1763">
        <w:rPr>
          <w:rFonts w:asciiTheme="majorHAnsi" w:hAnsiTheme="majorHAnsi"/>
          <w:sz w:val="24"/>
          <w:szCs w:val="24"/>
        </w:rPr>
        <w:t xml:space="preserve">can restrict that registrar’s access to the new registrations, subject its inventory of </w:t>
      </w:r>
      <w:r>
        <w:rPr>
          <w:rFonts w:asciiTheme="majorHAnsi" w:hAnsiTheme="majorHAnsi"/>
          <w:sz w:val="24"/>
          <w:szCs w:val="24"/>
        </w:rPr>
        <w:t>TLD</w:t>
      </w:r>
      <w:r w:rsidRPr="003E1763">
        <w:rPr>
          <w:rFonts w:asciiTheme="majorHAnsi" w:hAnsiTheme="majorHAnsi"/>
          <w:sz w:val="24"/>
          <w:szCs w:val="24"/>
        </w:rPr>
        <w:t xml:space="preserve"> domain names to enhanced investigation and require it conduct its own post-validation program.</w:t>
      </w:r>
    </w:p>
    <w:p w14:paraId="186F9081" w14:textId="3314255E" w:rsidR="003E1763" w:rsidRPr="003E1763" w:rsidRDefault="003E1763" w:rsidP="003E1763">
      <w:pPr>
        <w:spacing w:before="100" w:beforeAutospacing="1" w:after="100" w:afterAutospacing="1"/>
        <w:rPr>
          <w:rFonts w:asciiTheme="majorHAnsi" w:hAnsiTheme="majorHAnsi"/>
          <w:sz w:val="24"/>
          <w:szCs w:val="24"/>
        </w:rPr>
      </w:pPr>
      <w:r w:rsidRPr="003E1763">
        <w:rPr>
          <w:rFonts w:asciiTheme="majorHAnsi" w:hAnsiTheme="majorHAnsi"/>
          <w:sz w:val="24"/>
          <w:szCs w:val="24"/>
        </w:rPr>
        <w:t>An appeals process is available for all administrative measures taken in the framework of the enforcement program. The first instance of the app</w:t>
      </w:r>
      <w:r w:rsidR="00066C6C">
        <w:rPr>
          <w:rFonts w:asciiTheme="majorHAnsi" w:hAnsiTheme="majorHAnsi"/>
          <w:sz w:val="24"/>
          <w:szCs w:val="24"/>
        </w:rPr>
        <w:t>eals process is managed by the r</w:t>
      </w:r>
      <w:r w:rsidRPr="003E1763">
        <w:rPr>
          <w:rFonts w:asciiTheme="majorHAnsi" w:hAnsiTheme="majorHAnsi"/>
          <w:sz w:val="24"/>
          <w:szCs w:val="24"/>
        </w:rPr>
        <w:t xml:space="preserve">egistry service provider. </w:t>
      </w:r>
      <w:r>
        <w:rPr>
          <w:rFonts w:asciiTheme="majorHAnsi" w:hAnsiTheme="majorHAnsi"/>
          <w:sz w:val="24"/>
          <w:szCs w:val="24"/>
        </w:rPr>
        <w:t>Registry Operator</w:t>
      </w:r>
      <w:r w:rsidRPr="003E1763">
        <w:rPr>
          <w:rFonts w:asciiTheme="majorHAnsi" w:hAnsiTheme="majorHAnsi"/>
          <w:sz w:val="24"/>
          <w:szCs w:val="24"/>
        </w:rPr>
        <w:t xml:space="preserve"> will engage the relevant ADR </w:t>
      </w:r>
      <w:r w:rsidRPr="003E1763">
        <w:rPr>
          <w:rFonts w:asciiTheme="majorHAnsi" w:hAnsiTheme="majorHAnsi"/>
          <w:i/>
          <w:sz w:val="24"/>
          <w:szCs w:val="24"/>
        </w:rPr>
        <w:t>(</w:t>
      </w:r>
      <w:r w:rsidRPr="003E1763">
        <w:rPr>
          <w:rStyle w:val="Emphasis"/>
          <w:rFonts w:asciiTheme="majorHAnsi" w:eastAsia="Times New Roman" w:hAnsiTheme="majorHAnsi"/>
          <w:szCs w:val="24"/>
        </w:rPr>
        <w:t>Alternative dispute resolution)</w:t>
      </w:r>
      <w:r w:rsidRPr="003E1763">
        <w:rPr>
          <w:rFonts w:asciiTheme="majorHAnsi" w:hAnsiTheme="majorHAnsi"/>
          <w:i/>
          <w:sz w:val="24"/>
          <w:szCs w:val="24"/>
        </w:rPr>
        <w:t xml:space="preserve"> </w:t>
      </w:r>
      <w:r w:rsidRPr="003E1763">
        <w:rPr>
          <w:rFonts w:asciiTheme="majorHAnsi" w:hAnsiTheme="majorHAnsi"/>
          <w:sz w:val="24"/>
          <w:szCs w:val="24"/>
        </w:rPr>
        <w:t>providers of its area to establish a second instance appeal process.</w:t>
      </w:r>
    </w:p>
    <w:p w14:paraId="0B075EA3" w14:textId="77777777" w:rsidR="003E1763" w:rsidRPr="00EA300D" w:rsidRDefault="003E1763" w:rsidP="003E1763">
      <w:pPr>
        <w:spacing w:before="100" w:beforeAutospacing="1" w:after="100" w:afterAutospacing="1"/>
        <w:rPr>
          <w:rFonts w:ascii="Cambria" w:hAnsi="Cambria"/>
          <w:szCs w:val="22"/>
        </w:rPr>
      </w:pPr>
    </w:p>
    <w:p w14:paraId="654B6600" w14:textId="77777777" w:rsidR="003E1763" w:rsidRPr="00F717D9" w:rsidRDefault="003E1763" w:rsidP="003E1763">
      <w:pPr>
        <w:pStyle w:val="BlockText"/>
        <w:rPr>
          <w:rStyle w:val="DeltaViewDeletion"/>
          <w:rFonts w:asciiTheme="majorHAnsi" w:hAnsiTheme="majorHAnsi"/>
          <w:strike w:val="0"/>
          <w:sz w:val="24"/>
          <w:szCs w:val="24"/>
        </w:rPr>
      </w:pPr>
    </w:p>
    <w:p w14:paraId="0C851136" w14:textId="77777777" w:rsidR="003E1763" w:rsidRDefault="003E1763" w:rsidP="00E17A38">
      <w:pPr>
        <w:pStyle w:val="ListParagraph"/>
        <w:ind w:left="1440"/>
        <w:rPr>
          <w:rFonts w:ascii="Cambria" w:eastAsia="MS Gothic" w:hAnsi="Cambria" w:cs="Cambria"/>
          <w:color w:val="000000"/>
          <w:sz w:val="24"/>
          <w:szCs w:val="24"/>
        </w:rPr>
      </w:pPr>
    </w:p>
    <w:sectPr w:rsidR="003E176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141D6C" w:rsidRDefault="00141D6C">
      <w:pPr>
        <w:pStyle w:val="Footer"/>
      </w:pPr>
    </w:p>
  </w:endnote>
  <w:endnote w:type="continuationSeparator" w:id="0">
    <w:p w14:paraId="67A6DD6C" w14:textId="77777777" w:rsidR="00141D6C" w:rsidRDefault="00141D6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521C221" w:rsidR="00141D6C" w:rsidRDefault="00141D6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41D6C" w:rsidRDefault="00141D6C">
    <w:pPr>
      <w:pStyle w:val="Footer"/>
      <w:spacing w:line="200" w:lineRule="exact"/>
      <w:jc w:val="center"/>
    </w:pPr>
    <w:r>
      <w:fldChar w:fldCharType="begin"/>
    </w:r>
    <w:r>
      <w:instrText xml:space="preserve"> PAGE   \* MERGEFORMAT </w:instrText>
    </w:r>
    <w:r>
      <w:fldChar w:fldCharType="separate"/>
    </w:r>
    <w:r w:rsidR="00D218B4">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41D6C" w:rsidRDefault="00141D6C">
    <w:pPr>
      <w:pStyle w:val="Footer"/>
      <w:spacing w:line="200" w:lineRule="exact"/>
      <w:jc w:val="center"/>
    </w:pPr>
    <w:r>
      <w:fldChar w:fldCharType="begin"/>
    </w:r>
    <w:r>
      <w:instrText xml:space="preserve"> PAGE   \* MERGEFORMAT </w:instrText>
    </w:r>
    <w:r>
      <w:fldChar w:fldCharType="separate"/>
    </w:r>
    <w:r w:rsidR="00D218B4">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93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41D6C" w:rsidRDefault="00141D6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218B4">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41D6C" w:rsidRDefault="00141D6C">
    <w:pPr>
      <w:pStyle w:val="Footer"/>
      <w:spacing w:line="200" w:lineRule="exact"/>
      <w:jc w:val="center"/>
    </w:pPr>
    <w:r>
      <w:fldChar w:fldCharType="begin"/>
    </w:r>
    <w:r>
      <w:instrText xml:space="preserve"> PAGE   \* MERGEFORMAT </w:instrText>
    </w:r>
    <w:r>
      <w:fldChar w:fldCharType="separate"/>
    </w:r>
    <w:r w:rsidR="00D218B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41D6C" w:rsidRDefault="00141D6C">
    <w:pPr>
      <w:pStyle w:val="Footer"/>
      <w:tabs>
        <w:tab w:val="clear" w:pos="4680"/>
      </w:tabs>
      <w:spacing w:line="200" w:lineRule="exact"/>
      <w:jc w:val="center"/>
    </w:pPr>
  </w:p>
  <w:p w14:paraId="4A3D38B9"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41D6C" w:rsidRDefault="00141D6C">
    <w:pPr>
      <w:pStyle w:val="Footer"/>
      <w:spacing w:line="200" w:lineRule="exact"/>
      <w:jc w:val="center"/>
    </w:pPr>
    <w:r>
      <w:fldChar w:fldCharType="begin"/>
    </w:r>
    <w:r>
      <w:instrText xml:space="preserve"> PAGE   \* MERGEFORMAT </w:instrText>
    </w:r>
    <w:r>
      <w:fldChar w:fldCharType="separate"/>
    </w:r>
    <w:r w:rsidR="00D218B4">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41D6C" w:rsidRDefault="00141D6C">
    <w:pPr>
      <w:pStyle w:val="Footer"/>
      <w:spacing w:line="200" w:lineRule="exact"/>
      <w:jc w:val="center"/>
    </w:pPr>
    <w:r>
      <w:fldChar w:fldCharType="begin"/>
    </w:r>
    <w:r>
      <w:instrText xml:space="preserve"> PAGE   \* MERGEFORMAT </w:instrText>
    </w:r>
    <w:r>
      <w:fldChar w:fldCharType="separate"/>
    </w:r>
    <w:r w:rsidR="00D218B4">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41D6C" w:rsidRDefault="00141D6C">
    <w:pPr>
      <w:pStyle w:val="Footer"/>
      <w:tabs>
        <w:tab w:val="clear" w:pos="4680"/>
      </w:tabs>
      <w:spacing w:line="200" w:lineRule="exact"/>
      <w:jc w:val="center"/>
    </w:pPr>
    <w:r>
      <w:fldChar w:fldCharType="begin"/>
    </w:r>
    <w:r>
      <w:instrText xml:space="preserve"> PAGE   \* MERGEFORMAT </w:instrText>
    </w:r>
    <w:r>
      <w:fldChar w:fldCharType="separate"/>
    </w:r>
    <w:r w:rsidR="00D218B4">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141D6C" w:rsidRDefault="00141D6C">
      <w:r>
        <w:separator/>
      </w:r>
    </w:p>
  </w:footnote>
  <w:footnote w:type="continuationSeparator" w:id="0">
    <w:p w14:paraId="189A43B6" w14:textId="77777777" w:rsidR="00141D6C" w:rsidRDefault="00141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41D6C" w:rsidRDefault="00141D6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41D6C" w:rsidRDefault="00141D6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141D6C" w:rsidRDefault="00141D6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41D6C" w:rsidRDefault="0014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41D6C" w:rsidRDefault="00141D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41D6C" w:rsidRDefault="00141D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41D6C" w:rsidRDefault="00141D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41D6C" w:rsidRDefault="00141D6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41D6C" w:rsidRDefault="00141D6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41D6C" w:rsidRDefault="00141D6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41D6C" w:rsidRDefault="00141D6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41D6C" w:rsidRDefault="00141D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D990EC1C"/>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ZACjcvSfHCT2pdC8Nx/hxWJYcU4=" w:salt="liTAQCPlp2BCzqLOTfjzA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66C6C"/>
    <w:rsid w:val="00072B30"/>
    <w:rsid w:val="00096BD6"/>
    <w:rsid w:val="000F7E53"/>
    <w:rsid w:val="001112EB"/>
    <w:rsid w:val="00115B11"/>
    <w:rsid w:val="00116751"/>
    <w:rsid w:val="001372EE"/>
    <w:rsid w:val="00141D6C"/>
    <w:rsid w:val="001A750A"/>
    <w:rsid w:val="001D0A5A"/>
    <w:rsid w:val="001D7029"/>
    <w:rsid w:val="001F7F4B"/>
    <w:rsid w:val="00221DBC"/>
    <w:rsid w:val="002B30B6"/>
    <w:rsid w:val="002D622A"/>
    <w:rsid w:val="003248F3"/>
    <w:rsid w:val="003C3E1C"/>
    <w:rsid w:val="003E1763"/>
    <w:rsid w:val="003F1ECD"/>
    <w:rsid w:val="00410C40"/>
    <w:rsid w:val="00442E65"/>
    <w:rsid w:val="004520B6"/>
    <w:rsid w:val="0046082C"/>
    <w:rsid w:val="00460FC4"/>
    <w:rsid w:val="004C70E2"/>
    <w:rsid w:val="004D3240"/>
    <w:rsid w:val="004F7541"/>
    <w:rsid w:val="005229EC"/>
    <w:rsid w:val="005332B6"/>
    <w:rsid w:val="00551CA2"/>
    <w:rsid w:val="00567726"/>
    <w:rsid w:val="00575B2F"/>
    <w:rsid w:val="00590569"/>
    <w:rsid w:val="00610F07"/>
    <w:rsid w:val="006251CC"/>
    <w:rsid w:val="006319B6"/>
    <w:rsid w:val="0066237A"/>
    <w:rsid w:val="0069064E"/>
    <w:rsid w:val="006A538C"/>
    <w:rsid w:val="006D627D"/>
    <w:rsid w:val="00717C32"/>
    <w:rsid w:val="007266B0"/>
    <w:rsid w:val="00772AB8"/>
    <w:rsid w:val="007938BE"/>
    <w:rsid w:val="0082394D"/>
    <w:rsid w:val="008271DB"/>
    <w:rsid w:val="0083406E"/>
    <w:rsid w:val="008640BA"/>
    <w:rsid w:val="008B472D"/>
    <w:rsid w:val="008C03D4"/>
    <w:rsid w:val="00902DC5"/>
    <w:rsid w:val="00923618"/>
    <w:rsid w:val="00973E5D"/>
    <w:rsid w:val="009963F6"/>
    <w:rsid w:val="009A7216"/>
    <w:rsid w:val="009C295B"/>
    <w:rsid w:val="009C6F01"/>
    <w:rsid w:val="00A01BAD"/>
    <w:rsid w:val="00A04A81"/>
    <w:rsid w:val="00A329C6"/>
    <w:rsid w:val="00A41F74"/>
    <w:rsid w:val="00AF2699"/>
    <w:rsid w:val="00B125A1"/>
    <w:rsid w:val="00B93962"/>
    <w:rsid w:val="00BA40DB"/>
    <w:rsid w:val="00BC0CA9"/>
    <w:rsid w:val="00D16CC5"/>
    <w:rsid w:val="00D218B4"/>
    <w:rsid w:val="00D4038D"/>
    <w:rsid w:val="00D6646D"/>
    <w:rsid w:val="00DA6308"/>
    <w:rsid w:val="00DC4638"/>
    <w:rsid w:val="00DC4F22"/>
    <w:rsid w:val="00DD3B20"/>
    <w:rsid w:val="00E17A38"/>
    <w:rsid w:val="00E17C76"/>
    <w:rsid w:val="00E635D7"/>
    <w:rsid w:val="00E87C26"/>
    <w:rsid w:val="00EC3F8D"/>
    <w:rsid w:val="00EE7092"/>
    <w:rsid w:val="00F13C05"/>
    <w:rsid w:val="00F24E9B"/>
    <w:rsid w:val="00F334BC"/>
    <w:rsid w:val="00F72D28"/>
    <w:rsid w:val="00FA1B6C"/>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uiPriority="20"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DA6308"/>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uiPriority="20"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DA6308"/>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33924</Words>
  <Characters>193370</Characters>
  <Application>Microsoft Office Word</Application>
  <DocSecurity>8</DocSecurity>
  <Lines>1611</Lines>
  <Paragraphs>453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2014-02-17T18:29:00Z</dcterms:created>
  <dcterms:modified xsi:type="dcterms:W3CDTF">2014-02-17T18:29:00Z</dcterms:modified>
  <cp:contentStatus/>
</cp:coreProperties>
</file>