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DF132C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w:t>
      </w:r>
      <w:bookmarkStart w:id="0" w:name="_GoBack"/>
      <w:bookmarkEnd w:id="0"/>
      <w:r>
        <w:rPr>
          <w:rFonts w:asciiTheme="majorHAnsi" w:hAnsiTheme="majorHAnsi"/>
          <w:sz w:val="24"/>
          <w:szCs w:val="24"/>
        </w:rPr>
        <w:t xml:space="preserve">nternet Corporation for Assigned Names and Numbers, a California nonprofit public benefit corporation (“ICANN”), </w:t>
      </w:r>
      <w:r w:rsidRPr="0046082C">
        <w:rPr>
          <w:rFonts w:asciiTheme="majorHAnsi" w:hAnsiTheme="majorHAnsi"/>
          <w:sz w:val="24"/>
          <w:szCs w:val="24"/>
        </w:rPr>
        <w:t xml:space="preserve">and </w:t>
      </w:r>
      <w:r w:rsidR="00670766">
        <w:rPr>
          <w:rFonts w:asciiTheme="majorHAnsi" w:hAnsiTheme="majorHAnsi"/>
          <w:sz w:val="24"/>
          <w:szCs w:val="24"/>
        </w:rPr>
        <w:t>ECOM-LAC Federaciòn de Latinoamèrica y el Caribe para Internet y el Comercio Electrònico</w:t>
      </w:r>
      <w:r w:rsidR="00A01BAD">
        <w:rPr>
          <w:rFonts w:asciiTheme="majorHAnsi" w:hAnsiTheme="majorHAnsi"/>
          <w:sz w:val="24"/>
          <w:szCs w:val="24"/>
        </w:rPr>
        <w:t xml:space="preserve">, </w:t>
      </w:r>
      <w:r w:rsidR="00256FDA">
        <w:rPr>
          <w:rFonts w:asciiTheme="majorHAnsi" w:hAnsiTheme="majorHAnsi"/>
          <w:sz w:val="24"/>
          <w:szCs w:val="24"/>
        </w:rPr>
        <w:t xml:space="preserve">a </w:t>
      </w:r>
      <w:r w:rsidR="00B95BA6">
        <w:rPr>
          <w:rFonts w:asciiTheme="majorHAnsi" w:hAnsiTheme="majorHAnsi"/>
          <w:sz w:val="24"/>
          <w:szCs w:val="24"/>
        </w:rPr>
        <w:t>non-profit international organization formed under the laws of the Republic of Uruguay</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5C0280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70766">
        <w:rPr>
          <w:rFonts w:asciiTheme="majorHAnsi" w:eastAsia="DFKai-SB" w:hAnsiTheme="majorHAnsi" w:cs="Courier"/>
          <w:b/>
          <w:szCs w:val="24"/>
        </w:rPr>
        <w:t>.lat</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646FC282" w:rsidR="00BA265B" w:rsidRPr="00B95BA6"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70766" w:rsidRPr="00B95BA6">
        <w:rPr>
          <w:rFonts w:asciiTheme="majorHAnsi" w:hAnsiTheme="majorHAnsi"/>
          <w:sz w:val="24"/>
          <w:szCs w:val="24"/>
        </w:rPr>
        <w:t>ECOM-LAC Federaciòn de Latinoamèrica y el Caribe para Internet y el Comercio Electrònico</w:t>
      </w:r>
      <w:r w:rsidRPr="00B95BA6">
        <w:rPr>
          <w:rFonts w:asciiTheme="majorHAnsi" w:hAnsiTheme="majorHAnsi"/>
          <w:sz w:val="24"/>
          <w:szCs w:val="24"/>
        </w:rPr>
        <w:br/>
      </w:r>
      <w:r w:rsidR="00B95BA6" w:rsidRPr="00B95BA6">
        <w:rPr>
          <w:rFonts w:asciiTheme="majorHAnsi" w:eastAsia="DFKai-SB" w:hAnsiTheme="majorHAnsi" w:cs="Arial"/>
          <w:sz w:val="24"/>
          <w:szCs w:val="24"/>
        </w:rPr>
        <w:t>Rambla Republica de Mexico 6125</w:t>
      </w:r>
    </w:p>
    <w:p w14:paraId="4BA341EF" w14:textId="3C6AFBB1" w:rsidR="00B95BA6" w:rsidRPr="00B95BA6" w:rsidRDefault="00B95BA6" w:rsidP="00BA265B">
      <w:pPr>
        <w:widowControl w:val="0"/>
        <w:autoSpaceDE w:val="0"/>
        <w:autoSpaceDN w:val="0"/>
        <w:adjustRightInd w:val="0"/>
        <w:ind w:left="1440"/>
        <w:rPr>
          <w:rFonts w:asciiTheme="majorHAnsi" w:eastAsia="DFKai-SB" w:hAnsiTheme="majorHAnsi" w:cs="Arial"/>
          <w:sz w:val="24"/>
          <w:szCs w:val="24"/>
        </w:rPr>
      </w:pPr>
      <w:r w:rsidRPr="00B95BA6">
        <w:rPr>
          <w:rFonts w:asciiTheme="majorHAnsi" w:eastAsia="DFKai-SB" w:hAnsiTheme="majorHAnsi" w:cs="Arial"/>
          <w:sz w:val="24"/>
          <w:szCs w:val="24"/>
        </w:rPr>
        <w:t>Montevideo 11400</w:t>
      </w:r>
    </w:p>
    <w:p w14:paraId="46EE758E" w14:textId="188188D4" w:rsidR="00BA265B" w:rsidRPr="00B95BA6" w:rsidRDefault="00B95BA6" w:rsidP="00B95BA6">
      <w:pPr>
        <w:widowControl w:val="0"/>
        <w:autoSpaceDE w:val="0"/>
        <w:autoSpaceDN w:val="0"/>
        <w:adjustRightInd w:val="0"/>
        <w:ind w:left="720" w:firstLine="720"/>
        <w:rPr>
          <w:rFonts w:asciiTheme="majorHAnsi" w:hAnsiTheme="majorHAnsi"/>
          <w:sz w:val="24"/>
          <w:szCs w:val="24"/>
        </w:rPr>
      </w:pPr>
      <w:r w:rsidRPr="00B95BA6">
        <w:rPr>
          <w:rFonts w:asciiTheme="majorHAnsi" w:eastAsia="DFKai-SB" w:hAnsiTheme="majorHAnsi" w:cs="Arial"/>
          <w:sz w:val="24"/>
          <w:szCs w:val="24"/>
        </w:rPr>
        <w:t>UY</w:t>
      </w:r>
    </w:p>
    <w:p w14:paraId="0E747340" w14:textId="39016304" w:rsidR="00BA265B" w:rsidRPr="00B95BA6" w:rsidRDefault="00BA265B" w:rsidP="00B95BA6">
      <w:pPr>
        <w:pStyle w:val="BodyTextIndent"/>
        <w:spacing w:after="0"/>
        <w:rPr>
          <w:rFonts w:asciiTheme="majorHAnsi" w:eastAsia="DFKai-SB" w:hAnsiTheme="majorHAnsi" w:cs="Arial"/>
          <w:sz w:val="24"/>
          <w:szCs w:val="24"/>
        </w:rPr>
      </w:pPr>
      <w:r w:rsidRPr="00B95BA6">
        <w:rPr>
          <w:rFonts w:asciiTheme="majorHAnsi" w:hAnsiTheme="majorHAnsi"/>
          <w:sz w:val="24"/>
          <w:szCs w:val="24"/>
        </w:rPr>
        <w:t>Telephone:  +</w:t>
      </w:r>
      <w:r w:rsidR="00C22C73" w:rsidRPr="00B95BA6">
        <w:rPr>
          <w:rFonts w:asciiTheme="majorHAnsi" w:eastAsia="DFKai-SB" w:hAnsiTheme="majorHAnsi" w:cs="Arial"/>
          <w:sz w:val="24"/>
          <w:szCs w:val="24"/>
        </w:rPr>
        <w:t xml:space="preserve"> </w:t>
      </w:r>
      <w:r w:rsidR="00B95BA6" w:rsidRPr="00B95BA6">
        <w:rPr>
          <w:rFonts w:asciiTheme="majorHAnsi" w:eastAsia="DFKai-SB" w:hAnsiTheme="majorHAnsi" w:cs="Arial"/>
          <w:sz w:val="24"/>
          <w:szCs w:val="24"/>
        </w:rPr>
        <w:t>54 1143260777</w:t>
      </w:r>
      <w:r w:rsidRPr="00B95BA6">
        <w:rPr>
          <w:rFonts w:asciiTheme="majorHAnsi" w:hAnsiTheme="majorHAnsi"/>
          <w:sz w:val="24"/>
          <w:szCs w:val="24"/>
        </w:rPr>
        <w:br/>
        <w:t xml:space="preserve">Attention:  </w:t>
      </w:r>
      <w:r w:rsidR="00B95BA6" w:rsidRPr="00B95BA6">
        <w:rPr>
          <w:rFonts w:asciiTheme="majorHAnsi" w:eastAsia="DFKai-SB" w:hAnsiTheme="majorHAnsi" w:cs="Arial"/>
          <w:sz w:val="24"/>
          <w:szCs w:val="24"/>
        </w:rPr>
        <w:t>Anthony Harris, Executive Director</w:t>
      </w:r>
    </w:p>
    <w:p w14:paraId="24760EA8" w14:textId="5B71970B" w:rsidR="00BA265B" w:rsidRPr="00B95BA6" w:rsidRDefault="00BA265B" w:rsidP="00BA265B">
      <w:pPr>
        <w:pStyle w:val="BodyTextIndent"/>
        <w:rPr>
          <w:rFonts w:asciiTheme="majorHAnsi" w:hAnsiTheme="majorHAnsi"/>
          <w:sz w:val="24"/>
          <w:szCs w:val="24"/>
        </w:rPr>
      </w:pPr>
      <w:r w:rsidRPr="00B95BA6">
        <w:rPr>
          <w:rFonts w:asciiTheme="majorHAnsi" w:hAnsiTheme="majorHAnsi"/>
          <w:sz w:val="24"/>
          <w:szCs w:val="24"/>
        </w:rPr>
        <w:t xml:space="preserve">Email: </w:t>
      </w:r>
      <w:r w:rsidR="00B95BA6" w:rsidRPr="00B95BA6">
        <w:rPr>
          <w:rFonts w:asciiTheme="majorHAnsi" w:eastAsia="DFKai-SB" w:hAnsiTheme="majorHAnsi" w:cs="Arial"/>
          <w:sz w:val="24"/>
          <w:szCs w:val="24"/>
        </w:rPr>
        <w:t>lat_notices@nic.mx</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17C3868" w:rsidR="002B5FCB" w:rsidRPr="0046082C" w:rsidRDefault="00670766" w:rsidP="00670766">
      <w:pPr>
        <w:pStyle w:val="BodyText"/>
        <w:ind w:left="720" w:firstLine="0"/>
        <w:rPr>
          <w:rFonts w:asciiTheme="majorHAnsi" w:hAnsiTheme="majorHAnsi"/>
          <w:b/>
          <w:sz w:val="24"/>
          <w:szCs w:val="24"/>
        </w:rPr>
      </w:pPr>
      <w:r>
        <w:rPr>
          <w:rFonts w:asciiTheme="majorHAnsi" w:hAnsiTheme="majorHAnsi"/>
          <w:b/>
          <w:sz w:val="24"/>
          <w:szCs w:val="24"/>
        </w:rPr>
        <w:t>ECOM-LAC FEDERACIÒN DE LATINOAMÈRICA Y EL CARIBE PARA INTERNET Y EL COMERCIO ELECTRÒNICO</w:t>
      </w:r>
    </w:p>
    <w:p w14:paraId="75DEB902" w14:textId="217B5A1B" w:rsidR="0039685F" w:rsidRPr="00670766" w:rsidRDefault="002B5FCB" w:rsidP="002B5FCB">
      <w:pPr>
        <w:pStyle w:val="BodyTextIndent2"/>
        <w:rPr>
          <w:rFonts w:asciiTheme="majorHAnsi" w:hAnsiTheme="majorHAnsi"/>
          <w:sz w:val="24"/>
          <w:szCs w:val="24"/>
        </w:rPr>
      </w:pPr>
      <w:r w:rsidRPr="00670766">
        <w:rPr>
          <w:rFonts w:asciiTheme="majorHAnsi" w:hAnsiTheme="majorHAnsi"/>
          <w:sz w:val="24"/>
          <w:szCs w:val="24"/>
        </w:rPr>
        <w:t>By:</w:t>
      </w:r>
      <w:r w:rsidRPr="00670766">
        <w:rPr>
          <w:rFonts w:asciiTheme="majorHAnsi" w:hAnsiTheme="majorHAnsi"/>
          <w:sz w:val="24"/>
          <w:szCs w:val="24"/>
        </w:rPr>
        <w:tab/>
        <w:t>_____________________________</w:t>
      </w:r>
      <w:r w:rsidR="00670766" w:rsidRPr="00670766">
        <w:rPr>
          <w:rFonts w:asciiTheme="majorHAnsi" w:hAnsiTheme="majorHAnsi"/>
          <w:sz w:val="24"/>
          <w:szCs w:val="24"/>
        </w:rPr>
        <w:tab/>
      </w:r>
      <w:r w:rsidR="00670766" w:rsidRPr="00670766">
        <w:rPr>
          <w:rFonts w:asciiTheme="majorHAnsi" w:hAnsiTheme="majorHAnsi"/>
          <w:sz w:val="24"/>
          <w:szCs w:val="24"/>
        </w:rPr>
        <w:tab/>
        <w:t>By:</w:t>
      </w:r>
      <w:r w:rsidR="00670766" w:rsidRPr="00670766">
        <w:rPr>
          <w:rFonts w:asciiTheme="majorHAnsi" w:hAnsiTheme="majorHAnsi"/>
          <w:sz w:val="24"/>
          <w:szCs w:val="24"/>
        </w:rPr>
        <w:tab/>
        <w:t>_____________________________</w:t>
      </w:r>
      <w:r w:rsidRPr="00670766">
        <w:rPr>
          <w:rFonts w:asciiTheme="majorHAnsi" w:hAnsiTheme="majorHAnsi"/>
          <w:sz w:val="24"/>
          <w:szCs w:val="24"/>
        </w:rPr>
        <w:br/>
      </w:r>
      <w:r w:rsidRPr="00670766">
        <w:rPr>
          <w:rFonts w:asciiTheme="majorHAnsi" w:hAnsiTheme="majorHAnsi"/>
          <w:sz w:val="24"/>
          <w:szCs w:val="24"/>
        </w:rPr>
        <w:tab/>
      </w:r>
      <w:r w:rsidR="00670766" w:rsidRPr="00670766">
        <w:rPr>
          <w:rFonts w:asciiTheme="majorHAnsi" w:eastAsia="DFKai-SB" w:hAnsiTheme="majorHAnsi" w:cs="Arial"/>
          <w:sz w:val="24"/>
          <w:szCs w:val="24"/>
        </w:rPr>
        <w:t>Oscar Messano</w:t>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t>Osvaldo Novoa</w:t>
      </w:r>
    </w:p>
    <w:p w14:paraId="291A593F" w14:textId="796E7470" w:rsidR="00115B11" w:rsidRPr="00670766" w:rsidRDefault="002B5FCB" w:rsidP="002B5FCB">
      <w:pPr>
        <w:pStyle w:val="BodyTextIndent2"/>
        <w:rPr>
          <w:rFonts w:asciiTheme="majorHAnsi" w:hAnsiTheme="majorHAnsi"/>
          <w:sz w:val="24"/>
          <w:szCs w:val="24"/>
        </w:rPr>
      </w:pPr>
      <w:r w:rsidRPr="00670766">
        <w:rPr>
          <w:rFonts w:asciiTheme="majorHAnsi" w:hAnsiTheme="majorHAnsi"/>
          <w:sz w:val="24"/>
          <w:szCs w:val="24"/>
        </w:rPr>
        <w:tab/>
      </w:r>
      <w:r w:rsidR="00670766" w:rsidRPr="00670766">
        <w:rPr>
          <w:rFonts w:asciiTheme="majorHAnsi" w:eastAsia="DFKai-SB" w:hAnsiTheme="majorHAnsi" w:cs="Arial"/>
          <w:sz w:val="24"/>
          <w:szCs w:val="24"/>
        </w:rPr>
        <w:t xml:space="preserve">President </w:t>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r>
      <w:r w:rsidR="00670766" w:rsidRPr="00670766">
        <w:rPr>
          <w:rFonts w:asciiTheme="majorHAnsi" w:eastAsia="DFKai-SB" w:hAnsiTheme="majorHAnsi" w:cs="Arial"/>
          <w:sz w:val="24"/>
          <w:szCs w:val="24"/>
        </w:rPr>
        <w:tab/>
        <w:t>Secretary</w:t>
      </w:r>
      <w:r w:rsidR="005332B6" w:rsidRPr="00670766">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5D6DED8" w14:textId="77777777" w:rsidR="00B86D36" w:rsidRPr="007219B2" w:rsidRDefault="00B86D36" w:rsidP="00B86D3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F2FCF2B" w14:textId="77777777" w:rsidR="00B86D36" w:rsidRPr="007219B2" w:rsidRDefault="00B86D36" w:rsidP="00B86D3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82BA87F" w14:textId="77777777" w:rsidR="00B86D36" w:rsidRPr="007219B2" w:rsidRDefault="00B86D36" w:rsidP="00B86D3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DEBDDFC" w14:textId="77777777" w:rsidR="00B86D36" w:rsidRPr="007219B2" w:rsidRDefault="00B86D36" w:rsidP="00B86D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CB0022F" w14:textId="77777777" w:rsidR="00B86D36" w:rsidRPr="007219B2" w:rsidRDefault="00B86D36" w:rsidP="00B86D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750A5A8" w14:textId="77777777" w:rsidR="00B86D36" w:rsidRPr="007219B2" w:rsidRDefault="00B86D36" w:rsidP="00B86D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BEFFD09" w14:textId="77777777" w:rsidR="00B86D36" w:rsidRPr="007219B2" w:rsidRDefault="00B86D36" w:rsidP="00B86D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0CB4EC3" w14:textId="77777777" w:rsidR="00B86D36" w:rsidRPr="007219B2" w:rsidRDefault="00B86D36" w:rsidP="00B86D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299587E" w14:textId="77777777" w:rsidR="00B86D36" w:rsidRPr="007219B2" w:rsidRDefault="00B86D36" w:rsidP="00B86D3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FE4C8D1" w14:textId="77777777" w:rsidR="00B86D36" w:rsidRPr="007219B2" w:rsidRDefault="00B86D36" w:rsidP="00B86D3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6F8DB1B" w14:textId="77777777" w:rsidR="00B86D36" w:rsidRPr="00983BFF" w:rsidRDefault="00B86D36" w:rsidP="00B86D36">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3FA8B33" w14:textId="77777777" w:rsidR="00B86D36" w:rsidRPr="00983BFF" w:rsidRDefault="00B86D36" w:rsidP="00B86D36">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DBB0F0C" w14:textId="77777777" w:rsidR="00B86D36" w:rsidRPr="00983BFF" w:rsidRDefault="00B86D36" w:rsidP="00B86D3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C3D3260" w14:textId="77777777" w:rsidR="00B86D36" w:rsidRPr="007328EB" w:rsidRDefault="00B86D36" w:rsidP="00B86D36">
      <w:pPr>
        <w:numPr>
          <w:ilvl w:val="1"/>
          <w:numId w:val="42"/>
        </w:numPr>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12C25FD3" w14:textId="77777777" w:rsidR="00B86D36" w:rsidRPr="007328EB" w:rsidRDefault="00B86D36" w:rsidP="00B86D36">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45E2D80D" w14:textId="77777777" w:rsidR="00B86D36" w:rsidRPr="007328EB" w:rsidRDefault="00B86D36" w:rsidP="00B86D36">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lastRenderedPageBreak/>
        <w:t>Variant IDNs may be activated when requested by the sponsoring Registrar of the canonical name as described in the IDN Tables and IDN Registration Rules.</w:t>
      </w:r>
    </w:p>
    <w:p w14:paraId="2A873F9E" w14:textId="77777777" w:rsidR="00B86D36" w:rsidRDefault="00B86D36" w:rsidP="00B86D36">
      <w:pPr>
        <w:numPr>
          <w:ilvl w:val="2"/>
          <w:numId w:val="42"/>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1A06286" w14:textId="77777777" w:rsidR="00B86D36" w:rsidRPr="00983BFF" w:rsidRDefault="00B86D36" w:rsidP="00B86D36">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0F06528" w14:textId="77777777" w:rsidR="00B86D36" w:rsidRPr="00C465AB" w:rsidRDefault="00B86D36" w:rsidP="00B86D3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1656508" w14:textId="77777777" w:rsidR="00B86D36" w:rsidRPr="004A4A05" w:rsidRDefault="00B86D36" w:rsidP="00B86D36">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9E1B1E8" w14:textId="77777777" w:rsidR="00B86D36" w:rsidRPr="00B86D36" w:rsidRDefault="00B86D36" w:rsidP="00B86D36">
      <w:pPr>
        <w:spacing w:after="200"/>
        <w:ind w:left="360"/>
        <w:rPr>
          <w:rFonts w:asciiTheme="majorHAnsi" w:eastAsia="Arial" w:hAnsiTheme="majorHAnsi" w:cs="Arial"/>
          <w:color w:val="000000"/>
          <w:szCs w:val="22"/>
          <w:lang w:eastAsia="ja-JP"/>
        </w:rPr>
      </w:pPr>
      <w:r w:rsidRPr="00B86D36">
        <w:rPr>
          <w:rFonts w:asciiTheme="majorHAnsi" w:eastAsia="Arial" w:hAnsiTheme="majorHAnsi"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p>
    <w:p w14:paraId="1272EE7F" w14:textId="77777777" w:rsidR="00B86D36" w:rsidRPr="00B86D36" w:rsidRDefault="00B86D36" w:rsidP="00B86D36">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B86D36">
        <w:rPr>
          <w:rFonts w:asciiTheme="majorHAnsi" w:eastAsia="Arial" w:hAnsiTheme="majorHAnsi" w:cs="Arial"/>
          <w:b/>
          <w:color w:val="000000"/>
          <w:szCs w:val="22"/>
          <w:lang w:eastAsia="ja-JP"/>
        </w:rPr>
        <w:t>Registry Lock</w:t>
      </w:r>
    </w:p>
    <w:p w14:paraId="5E34301D" w14:textId="77777777" w:rsidR="00B86D36" w:rsidRPr="00B86D36" w:rsidRDefault="00B86D36" w:rsidP="00B86D36">
      <w:pPr>
        <w:spacing w:after="200"/>
        <w:ind w:left="360"/>
        <w:rPr>
          <w:rFonts w:asciiTheme="majorHAnsi" w:eastAsia="Arial" w:hAnsiTheme="majorHAnsi" w:cs="Arial"/>
          <w:color w:val="000000"/>
          <w:szCs w:val="22"/>
          <w:lang w:eastAsia="ja-JP"/>
        </w:rPr>
      </w:pPr>
      <w:r w:rsidRPr="00B86D36">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B86D36">
        <w:rPr>
          <w:rFonts w:asciiTheme="majorHAnsi" w:eastAsia="Times New Roman" w:hAnsiTheme="majorHAnsi"/>
          <w:szCs w:val="22"/>
        </w:rPr>
        <w:t>serverUpdateProhibited, serverDeleteProhibited and⁄or serverTransferProhibited</w:t>
      </w:r>
      <w:r w:rsidRPr="00B86D36">
        <w:rPr>
          <w:rFonts w:asciiTheme="majorHAnsi" w:eastAsia="Arial" w:hAnsiTheme="majorHAnsi" w:cs="Arial"/>
          <w:color w:val="000000"/>
          <w:szCs w:val="22"/>
          <w:lang w:eastAsia="ja-JP"/>
        </w:rPr>
        <w:t>.</w:t>
      </w:r>
    </w:p>
    <w:p w14:paraId="1326A84C" w14:textId="77777777" w:rsidR="00B86D36" w:rsidRPr="00983BFF" w:rsidRDefault="00B86D36" w:rsidP="00B86D36">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DAD5" w14:textId="77777777" w:rsidR="00F2082B" w:rsidRDefault="00F2082B">
      <w:pPr>
        <w:pStyle w:val="Footer"/>
      </w:pPr>
    </w:p>
  </w:endnote>
  <w:endnote w:type="continuationSeparator" w:id="0">
    <w:p w14:paraId="6F293FC2" w14:textId="77777777" w:rsidR="00F2082B" w:rsidRDefault="00F2082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32095C7"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B748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B748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B748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B748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B748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B748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B748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8A45" w14:textId="77777777" w:rsidR="00F2082B" w:rsidRDefault="00F2082B">
      <w:r>
        <w:separator/>
      </w:r>
    </w:p>
  </w:footnote>
  <w:footnote w:type="continuationSeparator" w:id="0">
    <w:p w14:paraId="1E4F5CBD" w14:textId="77777777" w:rsidR="00F2082B" w:rsidRDefault="00F2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KJzNbuAPX1rS/qd2KlcgfrtNbu35cuEI2cHBpCidv5+FLqyFXSKZ6aX4V+U+djk4MQIX7eJVXQJLIgAgZj76mg==" w:salt="lI6qKgaP/KbJu+A0+IwLb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7FAB"/>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70766"/>
    <w:rsid w:val="0069064E"/>
    <w:rsid w:val="006D627D"/>
    <w:rsid w:val="00707E4F"/>
    <w:rsid w:val="00735C2D"/>
    <w:rsid w:val="00762219"/>
    <w:rsid w:val="0077775F"/>
    <w:rsid w:val="00781CD6"/>
    <w:rsid w:val="00784AA5"/>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86D36"/>
    <w:rsid w:val="00B93962"/>
    <w:rsid w:val="00B95BA6"/>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5169A"/>
    <w:rsid w:val="00D6646D"/>
    <w:rsid w:val="00D92F97"/>
    <w:rsid w:val="00D96E5B"/>
    <w:rsid w:val="00DB748B"/>
    <w:rsid w:val="00DC4638"/>
    <w:rsid w:val="00DC4F22"/>
    <w:rsid w:val="00DF4B03"/>
    <w:rsid w:val="00DF6C9B"/>
    <w:rsid w:val="00E17C76"/>
    <w:rsid w:val="00E3028A"/>
    <w:rsid w:val="00E70B88"/>
    <w:rsid w:val="00E71833"/>
    <w:rsid w:val="00E746BC"/>
    <w:rsid w:val="00E86CA2"/>
    <w:rsid w:val="00EC3FC3"/>
    <w:rsid w:val="00EE356C"/>
    <w:rsid w:val="00EE7092"/>
    <w:rsid w:val="00F2082B"/>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32990</Words>
  <Characters>188046</Characters>
  <Application>Microsoft Office Word</Application>
  <DocSecurity>8</DocSecurity>
  <Lines>1567</Lines>
  <Paragraphs>441</Paragraphs>
  <ScaleCrop>false</ScaleCrop>
  <Manager/>
  <Company/>
  <LinksUpToDate>false</LinksUpToDate>
  <CharactersWithSpaces>220595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2014-10-10T20:05:00Z</dcterms:created>
  <dcterms:modified xsi:type="dcterms:W3CDTF">2014-10-10T20:06:00Z</dcterms:modified>
  <cp:contentStatus/>
</cp:coreProperties>
</file>