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E0D672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D4702C">
        <w:rPr>
          <w:rFonts w:asciiTheme="majorHAnsi" w:hAnsiTheme="majorHAnsi"/>
          <w:sz w:val="24"/>
          <w:szCs w:val="24"/>
        </w:rPr>
        <w:t>Locus Analytics LLC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D4702C">
        <w:rPr>
          <w:rFonts w:asciiTheme="majorHAnsi" w:hAnsiTheme="majorHAnsi"/>
          <w:sz w:val="24"/>
          <w:szCs w:val="24"/>
        </w:rPr>
        <w:t>Delaware limited liability company</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590870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D4702C">
        <w:rPr>
          <w:rFonts w:asciiTheme="majorHAnsi" w:hAnsiTheme="majorHAnsi"/>
          <w:b/>
          <w:szCs w:val="24"/>
        </w:rPr>
        <w:t>locus</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B15FB32" w14:textId="06D5FAD3" w:rsidR="00C817F4" w:rsidRPr="00D4702C" w:rsidRDefault="005332B6" w:rsidP="000E13C2">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D4702C">
        <w:rPr>
          <w:rFonts w:asciiTheme="majorHAnsi" w:hAnsiTheme="majorHAnsi"/>
          <w:sz w:val="24"/>
          <w:szCs w:val="24"/>
        </w:rPr>
        <w:t>Locus Analytics LLC</w:t>
      </w:r>
      <w:r w:rsidR="00C817F4" w:rsidRPr="003D0982">
        <w:rPr>
          <w:rFonts w:asciiTheme="majorHAnsi" w:hAnsiTheme="majorHAnsi"/>
          <w:sz w:val="24"/>
          <w:szCs w:val="24"/>
        </w:rPr>
        <w:t xml:space="preserve"> </w:t>
      </w:r>
      <w:r w:rsidR="00C817F4" w:rsidRPr="003D0982">
        <w:rPr>
          <w:rFonts w:asciiTheme="majorHAnsi" w:hAnsiTheme="majorHAnsi"/>
          <w:sz w:val="24"/>
          <w:szCs w:val="24"/>
        </w:rPr>
        <w:br/>
      </w:r>
      <w:r w:rsidR="00D4702C" w:rsidRPr="00D4702C">
        <w:rPr>
          <w:rFonts w:asciiTheme="majorHAnsi" w:eastAsia="DFKai-SB" w:hAnsiTheme="majorHAnsi" w:cs="Arial"/>
          <w:color w:val="1A1A1A"/>
          <w:sz w:val="24"/>
          <w:szCs w:val="24"/>
        </w:rPr>
        <w:t>101 W Elliott St. 4th Floor</w:t>
      </w:r>
    </w:p>
    <w:p w14:paraId="366708E4" w14:textId="6EC50DCD" w:rsidR="000E13C2" w:rsidRPr="00D4702C" w:rsidRDefault="00D4702C" w:rsidP="000E13C2">
      <w:pPr>
        <w:widowControl w:val="0"/>
        <w:autoSpaceDE w:val="0"/>
        <w:autoSpaceDN w:val="0"/>
        <w:adjustRightInd w:val="0"/>
        <w:ind w:left="1440"/>
        <w:rPr>
          <w:rFonts w:asciiTheme="majorHAnsi" w:eastAsia="DFKai-SB" w:hAnsiTheme="majorHAnsi" w:cs="Arial"/>
          <w:sz w:val="24"/>
          <w:szCs w:val="24"/>
        </w:rPr>
      </w:pPr>
      <w:r w:rsidRPr="00D4702C">
        <w:rPr>
          <w:rFonts w:asciiTheme="majorHAnsi" w:eastAsia="DFKai-SB" w:hAnsiTheme="majorHAnsi" w:cs="Arial"/>
          <w:color w:val="1A1A1A"/>
          <w:sz w:val="24"/>
          <w:szCs w:val="24"/>
        </w:rPr>
        <w:t>Seattle, Washington 98119</w:t>
      </w:r>
    </w:p>
    <w:p w14:paraId="5552795D" w14:textId="77777777" w:rsidR="00C817F4" w:rsidRPr="00D4702C" w:rsidRDefault="00C817F4" w:rsidP="00C817F4">
      <w:pPr>
        <w:widowControl w:val="0"/>
        <w:autoSpaceDE w:val="0"/>
        <w:autoSpaceDN w:val="0"/>
        <w:adjustRightInd w:val="0"/>
        <w:rPr>
          <w:rFonts w:asciiTheme="majorHAnsi" w:eastAsia="DFKai-SB" w:hAnsiTheme="majorHAnsi" w:cs="Arial"/>
          <w:sz w:val="24"/>
          <w:szCs w:val="24"/>
        </w:rPr>
      </w:pPr>
      <w:r w:rsidRPr="00D4702C">
        <w:rPr>
          <w:rFonts w:asciiTheme="majorHAnsi" w:eastAsia="DFKai-SB" w:hAnsiTheme="majorHAnsi" w:cs="Arial"/>
          <w:sz w:val="24"/>
          <w:szCs w:val="24"/>
        </w:rPr>
        <w:tab/>
      </w:r>
      <w:r w:rsidRPr="00D4702C">
        <w:rPr>
          <w:rFonts w:asciiTheme="majorHAnsi" w:eastAsia="DFKai-SB" w:hAnsiTheme="majorHAnsi" w:cs="Arial"/>
          <w:sz w:val="24"/>
          <w:szCs w:val="24"/>
        </w:rPr>
        <w:tab/>
        <w:t>USA</w:t>
      </w:r>
    </w:p>
    <w:p w14:paraId="43E21676" w14:textId="05C275CF" w:rsidR="000E13C2" w:rsidRPr="00D4702C" w:rsidRDefault="00C817F4" w:rsidP="00E647A0">
      <w:pPr>
        <w:pStyle w:val="BodyTextIndent"/>
        <w:spacing w:after="0"/>
        <w:rPr>
          <w:rFonts w:asciiTheme="majorHAnsi" w:eastAsia="DFKai-SB" w:hAnsiTheme="majorHAnsi" w:cs="Arial"/>
          <w:color w:val="1A1A1A"/>
          <w:sz w:val="24"/>
          <w:szCs w:val="24"/>
        </w:rPr>
      </w:pPr>
      <w:r w:rsidRPr="00D4702C">
        <w:rPr>
          <w:rFonts w:asciiTheme="majorHAnsi" w:hAnsiTheme="majorHAnsi"/>
          <w:sz w:val="24"/>
          <w:szCs w:val="24"/>
        </w:rPr>
        <w:t>Telephone:  +</w:t>
      </w:r>
      <w:r w:rsidRPr="00D4702C">
        <w:rPr>
          <w:rFonts w:asciiTheme="majorHAnsi" w:eastAsia="DFKai-SB" w:hAnsiTheme="majorHAnsi" w:cs="Arial"/>
          <w:sz w:val="24"/>
          <w:szCs w:val="24"/>
        </w:rPr>
        <w:t xml:space="preserve"> </w:t>
      </w:r>
      <w:r w:rsidR="00D4702C" w:rsidRPr="00D4702C">
        <w:rPr>
          <w:rFonts w:asciiTheme="majorHAnsi" w:eastAsia="DFKai-SB" w:hAnsiTheme="majorHAnsi" w:cs="Arial"/>
          <w:color w:val="1A1A1A"/>
          <w:sz w:val="24"/>
          <w:szCs w:val="24"/>
        </w:rPr>
        <w:t>1 206 910 6225</w:t>
      </w:r>
    </w:p>
    <w:p w14:paraId="74E410C1" w14:textId="7D90E4DE" w:rsidR="000E13C2" w:rsidRPr="00D4702C" w:rsidRDefault="000E13C2" w:rsidP="00E647A0">
      <w:pPr>
        <w:pStyle w:val="BodyTextIndent"/>
        <w:spacing w:after="0"/>
        <w:rPr>
          <w:rFonts w:asciiTheme="majorHAnsi" w:hAnsiTheme="majorHAnsi"/>
          <w:sz w:val="24"/>
          <w:szCs w:val="24"/>
        </w:rPr>
      </w:pPr>
      <w:r w:rsidRPr="00D4702C">
        <w:rPr>
          <w:rFonts w:asciiTheme="majorHAnsi" w:hAnsiTheme="majorHAnsi"/>
          <w:sz w:val="24"/>
          <w:szCs w:val="24"/>
        </w:rPr>
        <w:t xml:space="preserve">Facsimile:  +1 </w:t>
      </w:r>
      <w:r w:rsidR="00D4702C" w:rsidRPr="00D4702C">
        <w:rPr>
          <w:rFonts w:asciiTheme="majorHAnsi" w:eastAsia="DFKai-SB" w:hAnsiTheme="majorHAnsi" w:cs="Arial"/>
          <w:color w:val="1A1A1A"/>
          <w:sz w:val="24"/>
          <w:szCs w:val="24"/>
        </w:rPr>
        <w:t>212 883 2299</w:t>
      </w:r>
    </w:p>
    <w:p w14:paraId="19FC0190" w14:textId="50BD69B7" w:rsidR="00C817F4" w:rsidRPr="00D4702C" w:rsidRDefault="003D0982" w:rsidP="00E647A0">
      <w:pPr>
        <w:pStyle w:val="BodyTextIndent"/>
        <w:spacing w:after="0"/>
        <w:rPr>
          <w:rFonts w:asciiTheme="majorHAnsi" w:eastAsia="DFKai-SB" w:hAnsiTheme="majorHAnsi" w:cs="Arial"/>
          <w:sz w:val="24"/>
          <w:szCs w:val="24"/>
        </w:rPr>
      </w:pPr>
      <w:r w:rsidRPr="00D4702C">
        <w:rPr>
          <w:rFonts w:asciiTheme="majorHAnsi" w:hAnsiTheme="majorHAnsi"/>
          <w:sz w:val="24"/>
          <w:szCs w:val="24"/>
        </w:rPr>
        <w:t xml:space="preserve">Attention: </w:t>
      </w:r>
      <w:r w:rsidR="00D4702C" w:rsidRPr="00D4702C">
        <w:rPr>
          <w:rFonts w:asciiTheme="majorHAnsi" w:eastAsia="DFKai-SB" w:hAnsiTheme="majorHAnsi" w:cs="Arial"/>
          <w:color w:val="1A1A1A"/>
          <w:sz w:val="24"/>
          <w:szCs w:val="24"/>
        </w:rPr>
        <w:t>Sean Sandys, Technical Contact</w:t>
      </w:r>
    </w:p>
    <w:p w14:paraId="73D4A1B7" w14:textId="04C320D7" w:rsidR="00C817F4" w:rsidRPr="00D4702C" w:rsidRDefault="00C817F4" w:rsidP="00C817F4">
      <w:pPr>
        <w:pStyle w:val="BodyTextIndent"/>
        <w:rPr>
          <w:rFonts w:asciiTheme="majorHAnsi" w:hAnsiTheme="majorHAnsi"/>
          <w:sz w:val="24"/>
          <w:szCs w:val="24"/>
        </w:rPr>
      </w:pPr>
      <w:r w:rsidRPr="00D4702C">
        <w:rPr>
          <w:rFonts w:asciiTheme="majorHAnsi" w:hAnsiTheme="majorHAnsi"/>
          <w:sz w:val="24"/>
          <w:szCs w:val="24"/>
        </w:rPr>
        <w:t xml:space="preserve">Email: </w:t>
      </w:r>
      <w:r w:rsidR="00D4702C" w:rsidRPr="00D4702C">
        <w:rPr>
          <w:rFonts w:asciiTheme="majorHAnsi" w:eastAsia="DFKai-SB" w:hAnsiTheme="majorHAnsi" w:cs="Arial"/>
          <w:color w:val="1A1A1A"/>
          <w:sz w:val="24"/>
          <w:szCs w:val="24"/>
        </w:rPr>
        <w:t>sean@tyemill.com</w:t>
      </w:r>
    </w:p>
    <w:p w14:paraId="71C4056B" w14:textId="2878DCF7" w:rsidR="00F46190" w:rsidRPr="001F73DC" w:rsidRDefault="00966B18" w:rsidP="00C817F4">
      <w:pPr>
        <w:widowControl w:val="0"/>
        <w:autoSpaceDE w:val="0"/>
        <w:autoSpaceDN w:val="0"/>
        <w:adjustRightInd w:val="0"/>
        <w:ind w:left="1440"/>
        <w:rPr>
          <w:rFonts w:asciiTheme="majorHAnsi" w:hAnsiTheme="majorHAnsi"/>
          <w:sz w:val="24"/>
          <w:szCs w:val="24"/>
        </w:rPr>
      </w:pPr>
      <w:r w:rsidRPr="001F73DC">
        <w:rPr>
          <w:rFonts w:asciiTheme="majorHAnsi" w:hAnsiTheme="majorHAnsi"/>
          <w:sz w:val="24"/>
          <w:szCs w:val="24"/>
        </w:rPr>
        <w:lastRenderedPageBreak/>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w:t>
      </w:r>
      <w:r>
        <w:rPr>
          <w:rFonts w:asciiTheme="majorHAnsi" w:hAnsiTheme="majorHAnsi"/>
          <w:szCs w:val="24"/>
        </w:rPr>
        <w:lastRenderedPageBreak/>
        <w:t>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3D4C7935" w:rsidR="00966B18" w:rsidRPr="001F73DC" w:rsidRDefault="00D4702C" w:rsidP="00966B18">
      <w:pPr>
        <w:pStyle w:val="BodyText"/>
        <w:rPr>
          <w:rFonts w:asciiTheme="majorHAnsi" w:hAnsiTheme="majorHAnsi"/>
          <w:b/>
          <w:sz w:val="24"/>
          <w:szCs w:val="24"/>
        </w:rPr>
      </w:pPr>
      <w:r>
        <w:rPr>
          <w:rFonts w:asciiTheme="majorHAnsi" w:hAnsiTheme="majorHAnsi"/>
          <w:b/>
          <w:sz w:val="24"/>
          <w:szCs w:val="24"/>
        </w:rPr>
        <w:t>LOCUS ANALYTICS LLC</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7559411C" w14:textId="77777777" w:rsidR="00D4702C" w:rsidRDefault="00966B18" w:rsidP="00D4702C">
      <w:pPr>
        <w:pStyle w:val="BodyTextIndent2"/>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E647A0">
        <w:rPr>
          <w:rFonts w:asciiTheme="majorHAnsi" w:hAnsiTheme="majorHAnsi"/>
          <w:sz w:val="24"/>
          <w:szCs w:val="24"/>
        </w:rPr>
        <w:tab/>
        <w:t>_____________________________</w:t>
      </w:r>
      <w:r w:rsidRPr="00E647A0">
        <w:rPr>
          <w:rFonts w:asciiTheme="majorHAnsi" w:hAnsiTheme="majorHAnsi"/>
          <w:sz w:val="24"/>
          <w:szCs w:val="24"/>
        </w:rPr>
        <w:br/>
      </w:r>
      <w:r w:rsidRPr="00E647A0">
        <w:rPr>
          <w:rFonts w:asciiTheme="majorHAnsi" w:hAnsiTheme="majorHAnsi"/>
          <w:sz w:val="24"/>
          <w:szCs w:val="24"/>
        </w:rPr>
        <w:tab/>
      </w:r>
      <w:r w:rsidR="00D4702C">
        <w:rPr>
          <w:rFonts w:asciiTheme="majorHAnsi" w:eastAsia="DFKai-SB" w:hAnsiTheme="majorHAnsi" w:cs="Arial"/>
          <w:color w:val="1A1A1A"/>
          <w:sz w:val="24"/>
          <w:szCs w:val="24"/>
        </w:rPr>
        <w:t>Rory Riggs</w:t>
      </w:r>
    </w:p>
    <w:p w14:paraId="291A593F" w14:textId="05A65E50" w:rsidR="00115B11" w:rsidRPr="000E13C2" w:rsidRDefault="00D4702C" w:rsidP="00D4702C">
      <w:pPr>
        <w:pStyle w:val="BodyTextIndent2"/>
        <w:rPr>
          <w:rFonts w:asciiTheme="majorHAnsi" w:hAnsiTheme="majorHAnsi"/>
          <w:sz w:val="24"/>
          <w:szCs w:val="24"/>
        </w:rPr>
      </w:pPr>
      <w:r>
        <w:rPr>
          <w:rFonts w:asciiTheme="majorHAnsi" w:eastAsia="DFKai-SB" w:hAnsiTheme="majorHAnsi" w:cs="Arial"/>
          <w:color w:val="1A1A1A"/>
          <w:sz w:val="24"/>
          <w:szCs w:val="24"/>
        </w:rPr>
        <w:tab/>
        <w:t>Managing Member</w:t>
      </w:r>
      <w:r w:rsidR="005332B6" w:rsidRPr="000E13C2">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48BF4E05" w14:textId="77777777" w:rsidR="00D4702C" w:rsidRPr="007219B2" w:rsidRDefault="00D4702C" w:rsidP="00D4702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E20EFCE" w14:textId="77777777" w:rsidR="00D4702C" w:rsidRPr="007219B2" w:rsidRDefault="00D4702C" w:rsidP="00D4702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09C9173" w14:textId="77777777" w:rsidR="00D4702C" w:rsidRPr="007219B2" w:rsidRDefault="00D4702C" w:rsidP="00D4702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1849391" w14:textId="77777777" w:rsidR="00D4702C" w:rsidRPr="007219B2" w:rsidRDefault="00D4702C" w:rsidP="00D4702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61DCA4A" w14:textId="77777777" w:rsidR="00D4702C" w:rsidRPr="007219B2" w:rsidRDefault="00D4702C" w:rsidP="00D4702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FE64918" w14:textId="77777777" w:rsidR="00D4702C" w:rsidRPr="007219B2" w:rsidRDefault="00D4702C" w:rsidP="00D4702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08EF580" w14:textId="77777777" w:rsidR="00D4702C" w:rsidRPr="007219B2" w:rsidRDefault="00D4702C" w:rsidP="00D4702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76CEE24" w14:textId="77777777" w:rsidR="00D4702C" w:rsidRPr="007219B2" w:rsidRDefault="00D4702C" w:rsidP="00D4702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8F8AF3A" w14:textId="77777777" w:rsidR="00D4702C" w:rsidRPr="007219B2" w:rsidRDefault="00D4702C" w:rsidP="00D4702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766F6E0" w14:textId="77777777" w:rsidR="00D4702C" w:rsidRDefault="00D4702C" w:rsidP="00D4702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419A8B1" w14:textId="77777777" w:rsidR="00D4702C" w:rsidRDefault="00D4702C" w:rsidP="00D4702C">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47698CC8" w14:textId="77777777" w:rsidR="00D4702C" w:rsidRPr="0013211B" w:rsidRDefault="00D4702C" w:rsidP="00D4702C">
      <w:pPr>
        <w:spacing w:after="200" w:line="276" w:lineRule="auto"/>
        <w:ind w:left="360"/>
        <w:outlineLvl w:val="0"/>
        <w:rPr>
          <w:rFonts w:ascii="Cambria" w:eastAsia="Arial" w:hAnsi="Cambria" w:cs="Arial"/>
          <w:color w:val="000000"/>
          <w:szCs w:val="22"/>
          <w:lang w:eastAsia="ja-JP"/>
        </w:rPr>
      </w:pPr>
      <w:r w:rsidRPr="00945D61">
        <w:rPr>
          <w:rFonts w:ascii="Cambria" w:eastAsia="Arial" w:hAnsi="Cambria" w:cs="Arial"/>
          <w:color w:val="000000"/>
          <w:szCs w:val="22"/>
          <w:lang w:eastAsia="ja-JP"/>
        </w:rPr>
        <w:t>Registry Operator may suspend, delete or otherwise make changes to domain names in compliance with its anti-abuse policy.</w:t>
      </w:r>
    </w:p>
    <w:p w14:paraId="374A9F83" w14:textId="77777777" w:rsidR="00D4702C" w:rsidRPr="004A4A05" w:rsidRDefault="00D4702C" w:rsidP="00D4702C">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4D629AC" w14:textId="77777777" w:rsidR="00D4702C" w:rsidRDefault="00D4702C" w:rsidP="00D4702C">
      <w:pPr>
        <w:spacing w:after="200" w:line="276" w:lineRule="auto"/>
        <w:ind w:left="360"/>
        <w:outlineLvl w:val="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w:t>
      </w:r>
      <w:r w:rsidRPr="006661E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6661E0">
        <w:rPr>
          <w:rFonts w:ascii="Cambria" w:eastAsia="Arial" w:hAnsi="Cambria" w:cs="Arial"/>
          <w:color w:val="000000"/>
          <w:szCs w:val="22"/>
          <w:lang w:eastAsia="ja-JP"/>
        </w:rPr>
        <w:t>.</w:t>
      </w:r>
      <w:r>
        <w:rPr>
          <w:rFonts w:ascii="Cambria" w:eastAsia="Arial" w:hAnsi="Cambria" w:cs="Arial"/>
          <w:color w:val="000000"/>
          <w:szCs w:val="22"/>
          <w:lang w:eastAsia="ja-JP"/>
        </w:rPr>
        <w:t>g</w:t>
      </w:r>
      <w:r w:rsidRPr="006661E0">
        <w:rPr>
          <w:rFonts w:ascii="Cambria" w:eastAsia="Arial" w:hAnsi="Cambria" w:cs="Arial"/>
          <w:color w:val="000000"/>
          <w:szCs w:val="22"/>
          <w:lang w:eastAsia="ja-JP"/>
        </w:rPr>
        <w:t>., user name a</w:t>
      </w:r>
      <w:r>
        <w:rPr>
          <w:rFonts w:ascii="Cambria" w:eastAsia="Arial" w:hAnsi="Cambria" w:cs="Arial"/>
          <w:color w:val="000000"/>
          <w:szCs w:val="22"/>
          <w:lang w:eastAsia="ja-JP"/>
        </w:rPr>
        <w:t>nd password</w:t>
      </w:r>
      <w:r w:rsidRPr="006661E0">
        <w:rPr>
          <w:rFonts w:ascii="Cambria" w:eastAsia="Arial" w:hAnsi="Cambria" w:cs="Arial"/>
          <w:color w:val="000000"/>
          <w:szCs w:val="22"/>
          <w:lang w:eastAsia="ja-JP"/>
        </w:rPr>
        <w:t xml:space="preserve">).  </w:t>
      </w:r>
      <w:r w:rsidRPr="006661E0">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p>
    <w:p w14:paraId="67099774" w14:textId="77777777" w:rsidR="00D4702C" w:rsidRPr="007373EC" w:rsidRDefault="00D4702C" w:rsidP="00D4702C">
      <w:pPr>
        <w:pStyle w:val="ListParagraph"/>
        <w:spacing w:after="200"/>
        <w:rPr>
          <w:rFonts w:ascii="Cambria" w:eastAsia="Arial" w:hAnsi="Cambria" w:cs="Arial"/>
          <w:color w:val="000000"/>
          <w:szCs w:val="22"/>
          <w:lang w:eastAsia="ja-JP"/>
        </w:rPr>
      </w:pPr>
    </w:p>
    <w:p w14:paraId="76043386" w14:textId="77777777" w:rsidR="00D4702C" w:rsidRPr="001962CB" w:rsidRDefault="00D4702C" w:rsidP="00D4702C">
      <w:pPr>
        <w:pStyle w:val="ListParagraph"/>
        <w:numPr>
          <w:ilvl w:val="0"/>
          <w:numId w:val="42"/>
        </w:numPr>
        <w:spacing w:before="480" w:after="200"/>
        <w:ind w:left="720"/>
        <w:rPr>
          <w:rFonts w:ascii="Cambria" w:eastAsia="Arial" w:hAnsi="Cambria" w:cs="Arial"/>
          <w:b/>
          <w:color w:val="000000"/>
          <w:szCs w:val="22"/>
          <w:lang w:eastAsia="ja-JP"/>
        </w:rPr>
      </w:pPr>
      <w:r>
        <w:rPr>
          <w:rFonts w:ascii="Cambria" w:eastAsia="Arial" w:hAnsi="Cambria" w:cs="Arial"/>
          <w:b/>
          <w:color w:val="000000"/>
          <w:szCs w:val="22"/>
          <w:lang w:eastAsia="ja-JP"/>
        </w:rPr>
        <w:t>Domain Name Monitoring</w:t>
      </w:r>
    </w:p>
    <w:p w14:paraId="1A399B96" w14:textId="77777777" w:rsidR="00D4702C" w:rsidRPr="00B2795C" w:rsidRDefault="00D4702C" w:rsidP="00D4702C">
      <w:pPr>
        <w:spacing w:after="200" w:line="276" w:lineRule="auto"/>
        <w:ind w:left="360"/>
        <w:outlineLvl w:val="0"/>
        <w:rPr>
          <w:color w:val="000000"/>
        </w:rPr>
      </w:pPr>
      <w:bookmarkStart w:id="1" w:name="h.2s8eyo1" w:colFirst="0" w:colLast="0"/>
      <w:bookmarkEnd w:id="1"/>
      <w:r w:rsidRPr="00B2795C">
        <w:rPr>
          <w:rFonts w:ascii="Cambria" w:hAnsi="Cambria"/>
          <w:color w:val="000000"/>
        </w:rPr>
        <w:t xml:space="preserve">Registry </w:t>
      </w:r>
      <w:r w:rsidRPr="001962CB">
        <w:rPr>
          <w:rFonts w:ascii="Cambria" w:eastAsia="Arial" w:hAnsi="Cambria" w:cs="Arial"/>
          <w:color w:val="000000"/>
          <w:szCs w:val="22"/>
          <w:lang w:eastAsia="ja-JP"/>
        </w:rPr>
        <w:t>Operator</w:t>
      </w:r>
      <w:r w:rsidRPr="00B2795C">
        <w:rPr>
          <w:rFonts w:ascii="Cambria" w:hAnsi="Cambria"/>
          <w:color w:val="000000"/>
        </w:rPr>
        <w:t xml:space="preserve"> may offer the Domain Name Monitoring service, which is a Registry Service that </w:t>
      </w:r>
      <w:r w:rsidRPr="001962CB">
        <w:rPr>
          <w:rFonts w:ascii="Cambria" w:eastAsia="Arial" w:hAnsi="Cambria" w:cs="Arial"/>
          <w:color w:val="000000"/>
          <w:szCs w:val="22"/>
          <w:lang w:eastAsia="ja-JP"/>
        </w:rPr>
        <w:t>allows</w:t>
      </w:r>
      <w:r w:rsidRPr="00B2795C">
        <w:rPr>
          <w:rFonts w:ascii="Cambria" w:hAnsi="Cambria"/>
          <w:color w:val="000000"/>
        </w:rPr>
        <w:t xml:space="preserve"> the registrant of a domain name to obtain monitoring information collected by the Registry Operator for that particular domain name.</w:t>
      </w:r>
    </w:p>
    <w:p w14:paraId="2F127F5E" w14:textId="77777777" w:rsidR="00D4702C" w:rsidRPr="003C692B" w:rsidRDefault="00D4702C" w:rsidP="00D4702C">
      <w:pPr>
        <w:pStyle w:val="ListParagraph"/>
        <w:numPr>
          <w:ilvl w:val="0"/>
          <w:numId w:val="42"/>
        </w:numPr>
        <w:spacing w:before="480" w:after="200"/>
        <w:ind w:left="720"/>
        <w:rPr>
          <w:rFonts w:ascii="Cambria" w:eastAsia="Arial" w:hAnsi="Cambria" w:cs="Arial"/>
          <w:b/>
          <w:color w:val="000000"/>
          <w:szCs w:val="22"/>
          <w:lang w:eastAsia="ja-JP"/>
        </w:rPr>
      </w:pPr>
      <w:r w:rsidRPr="003C692B">
        <w:rPr>
          <w:rFonts w:ascii="Cambria" w:eastAsia="Arial" w:hAnsi="Cambria" w:cs="Arial"/>
          <w:b/>
          <w:color w:val="000000"/>
          <w:szCs w:val="22"/>
          <w:lang w:eastAsia="ja-JP"/>
        </w:rPr>
        <w:t>"Blocked Names"</w:t>
      </w:r>
    </w:p>
    <w:p w14:paraId="73AD03A0" w14:textId="77777777" w:rsidR="00D4702C" w:rsidRDefault="00D4702C" w:rsidP="00D4702C">
      <w:pPr>
        <w:pStyle w:val="ListParagraph"/>
        <w:spacing w:after="200"/>
        <w:ind w:left="360"/>
        <w:rPr>
          <w:rFonts w:ascii="Cambria" w:eastAsia="Arial" w:hAnsi="Cambria" w:cs="Arial"/>
          <w:color w:val="000000"/>
          <w:szCs w:val="22"/>
          <w:lang w:eastAsia="ja-JP"/>
        </w:rPr>
      </w:pPr>
    </w:p>
    <w:p w14:paraId="4F710018" w14:textId="77777777" w:rsidR="00D4702C" w:rsidRDefault="00D4702C" w:rsidP="00D4702C">
      <w:pPr>
        <w:pStyle w:val="ListParagraph"/>
        <w:widowControl w:val="0"/>
        <w:numPr>
          <w:ilvl w:val="1"/>
          <w:numId w:val="42"/>
        </w:numPr>
        <w:tabs>
          <w:tab w:val="left" w:pos="1260"/>
        </w:tabs>
        <w:autoSpaceDE w:val="0"/>
        <w:autoSpaceDN w:val="0"/>
        <w:adjustRightInd w:val="0"/>
        <w:spacing w:before="120" w:after="120"/>
        <w:ind w:left="1152"/>
        <w:rPr>
          <w:szCs w:val="22"/>
        </w:rPr>
      </w:pPr>
      <w:r>
        <w:rPr>
          <w:rFonts w:ascii="Cambria" w:hAnsi="Cambria"/>
          <w:szCs w:val="22"/>
        </w:rPr>
        <w:t>Registry operator may offer the "Blocked Names</w:t>
      </w:r>
      <w:r>
        <w:rPr>
          <w:rFonts w:ascii="Cambria" w:hAnsi="Cambria" w:cs="Cambria"/>
          <w:szCs w:val="22"/>
        </w:rPr>
        <w:t>"</w:t>
      </w:r>
      <w:r>
        <w:rPr>
          <w:rFonts w:ascii="Cambria" w:hAnsi="Cambria"/>
          <w:szCs w:val="22"/>
        </w:rPr>
        <w:t xml:space="preserve"> service</w:t>
      </w:r>
      <w:r>
        <w:rPr>
          <w:rFonts w:ascii="Cambria" w:hAnsi="Cambria" w:cs="Cambria"/>
          <w:szCs w:val="22"/>
        </w:rPr>
        <w:t>,</w:t>
      </w:r>
      <w:r>
        <w:rPr>
          <w:rFonts w:ascii="Cambria" w:hAnsi="Cambria"/>
          <w:szCs w:val="22"/>
        </w:rPr>
        <w:t xml:space="preserve"> which is a registry service that allows trademark rights holders to register domain names based on the labels listed in a valid SMD issued by an ICANN-authorized trademark validator.</w:t>
      </w:r>
    </w:p>
    <w:p w14:paraId="3D1D7302" w14:textId="77777777" w:rsidR="00D4702C" w:rsidRDefault="00D4702C" w:rsidP="00D4702C">
      <w:pPr>
        <w:pStyle w:val="ListParagraph"/>
        <w:widowControl w:val="0"/>
        <w:tabs>
          <w:tab w:val="left" w:pos="1260"/>
        </w:tabs>
        <w:autoSpaceDE w:val="0"/>
        <w:autoSpaceDN w:val="0"/>
        <w:adjustRightInd w:val="0"/>
        <w:spacing w:before="120" w:after="120"/>
        <w:ind w:left="1170" w:hanging="436"/>
        <w:rPr>
          <w:szCs w:val="22"/>
        </w:rPr>
      </w:pPr>
    </w:p>
    <w:p w14:paraId="2DD1E8D9" w14:textId="77777777" w:rsidR="00D4702C" w:rsidRDefault="00D4702C" w:rsidP="00D4702C">
      <w:pPr>
        <w:pStyle w:val="ListParagraph"/>
        <w:widowControl w:val="0"/>
        <w:numPr>
          <w:ilvl w:val="1"/>
          <w:numId w:val="42"/>
        </w:numPr>
        <w:tabs>
          <w:tab w:val="left" w:pos="1260"/>
        </w:tabs>
        <w:autoSpaceDE w:val="0"/>
        <w:autoSpaceDN w:val="0"/>
        <w:adjustRightInd w:val="0"/>
        <w:spacing w:before="120" w:after="120"/>
        <w:ind w:left="1152"/>
        <w:rPr>
          <w:szCs w:val="22"/>
        </w:rPr>
      </w:pPr>
      <w:r>
        <w:rPr>
          <w:rFonts w:ascii="Cambria" w:hAnsi="Cambria"/>
          <w:szCs w:val="22"/>
        </w:rPr>
        <w:t>Registry Operator must offer registrars support for the "Blocked Names</w:t>
      </w:r>
      <w:r>
        <w:rPr>
          <w:rFonts w:ascii="Cambria" w:hAnsi="Cambria" w:cs="Cambria"/>
          <w:szCs w:val="22"/>
        </w:rPr>
        <w:t>"</w:t>
      </w:r>
      <w:r>
        <w:rPr>
          <w:rFonts w:ascii="Cambria" w:hAnsi="Cambria"/>
          <w:szCs w:val="22"/>
        </w:rPr>
        <w:t xml:space="preserve"> service in EPP.</w:t>
      </w:r>
    </w:p>
    <w:p w14:paraId="68DE8D7E" w14:textId="77777777" w:rsidR="00D4702C" w:rsidRDefault="00D4702C" w:rsidP="00D4702C">
      <w:pPr>
        <w:pStyle w:val="ListParagraph"/>
        <w:widowControl w:val="0"/>
        <w:tabs>
          <w:tab w:val="left" w:pos="1260"/>
        </w:tabs>
        <w:autoSpaceDE w:val="0"/>
        <w:autoSpaceDN w:val="0"/>
        <w:adjustRightInd w:val="0"/>
        <w:spacing w:before="120" w:after="120"/>
        <w:ind w:left="1170" w:hanging="436"/>
        <w:rPr>
          <w:szCs w:val="22"/>
        </w:rPr>
      </w:pPr>
    </w:p>
    <w:p w14:paraId="3CE7119C" w14:textId="77777777" w:rsidR="00D4702C" w:rsidRDefault="00D4702C" w:rsidP="00D4702C">
      <w:pPr>
        <w:pStyle w:val="ListParagraph"/>
        <w:widowControl w:val="0"/>
        <w:numPr>
          <w:ilvl w:val="1"/>
          <w:numId w:val="42"/>
        </w:numPr>
        <w:tabs>
          <w:tab w:val="left" w:pos="1260"/>
        </w:tabs>
        <w:autoSpaceDE w:val="0"/>
        <w:autoSpaceDN w:val="0"/>
        <w:adjustRightInd w:val="0"/>
        <w:spacing w:before="120" w:after="120"/>
        <w:ind w:left="1152"/>
        <w:rPr>
          <w:szCs w:val="22"/>
        </w:rPr>
      </w:pPr>
      <w:r>
        <w:rPr>
          <w:rFonts w:ascii="Cambria" w:hAnsi="Cambria"/>
          <w:szCs w:val="22"/>
        </w:rPr>
        <w:t>Domain names registered using the "Blocked Names</w:t>
      </w:r>
      <w:r>
        <w:rPr>
          <w:rFonts w:ascii="Cambria" w:hAnsi="Cambria" w:cs="Cambria"/>
          <w:szCs w:val="22"/>
        </w:rPr>
        <w:t>"</w:t>
      </w:r>
      <w:r>
        <w:rPr>
          <w:rFonts w:ascii="Cambria" w:hAnsi="Cambria"/>
          <w:szCs w:val="22"/>
        </w:rPr>
        <w:t xml:space="preserve"> service must be registered through a registrar and reported to ICANN as any other transaction.</w:t>
      </w:r>
    </w:p>
    <w:p w14:paraId="079B6AA9" w14:textId="77777777" w:rsidR="00D4702C" w:rsidRDefault="00D4702C" w:rsidP="00D4702C">
      <w:pPr>
        <w:pStyle w:val="ListParagraph"/>
        <w:widowControl w:val="0"/>
        <w:tabs>
          <w:tab w:val="left" w:pos="1260"/>
        </w:tabs>
        <w:autoSpaceDE w:val="0"/>
        <w:autoSpaceDN w:val="0"/>
        <w:adjustRightInd w:val="0"/>
        <w:spacing w:before="120" w:after="120"/>
        <w:ind w:left="1170" w:hanging="436"/>
        <w:rPr>
          <w:szCs w:val="22"/>
        </w:rPr>
      </w:pPr>
    </w:p>
    <w:p w14:paraId="705798D4" w14:textId="77777777" w:rsidR="00D4702C" w:rsidRDefault="00D4702C" w:rsidP="00D4702C">
      <w:pPr>
        <w:pStyle w:val="ListParagraph"/>
        <w:widowControl w:val="0"/>
        <w:numPr>
          <w:ilvl w:val="1"/>
          <w:numId w:val="42"/>
        </w:numPr>
        <w:tabs>
          <w:tab w:val="left" w:pos="1260"/>
        </w:tabs>
        <w:autoSpaceDE w:val="0"/>
        <w:autoSpaceDN w:val="0"/>
        <w:adjustRightInd w:val="0"/>
        <w:spacing w:before="120" w:after="120"/>
        <w:ind w:left="1152"/>
        <w:rPr>
          <w:szCs w:val="22"/>
        </w:rPr>
      </w:pPr>
      <w:r>
        <w:rPr>
          <w:rFonts w:ascii="Cambria" w:hAnsi="Cambria"/>
          <w:szCs w:val="22"/>
        </w:rPr>
        <w:t>The "Blocked Names</w:t>
      </w:r>
      <w:r>
        <w:rPr>
          <w:rFonts w:ascii="Cambria" w:hAnsi="Cambria" w:cs="Cambria"/>
          <w:szCs w:val="22"/>
        </w:rPr>
        <w:t>"</w:t>
      </w:r>
      <w:r>
        <w:rPr>
          <w:rFonts w:ascii="Cambria" w:hAnsi="Cambria"/>
          <w:szCs w:val="22"/>
        </w:rPr>
        <w:t xml:space="preserve"> service must be disabled for a specific domain name when requested by the sponsoring Registrar.</w:t>
      </w:r>
    </w:p>
    <w:p w14:paraId="6B8EE923" w14:textId="77777777" w:rsidR="00D4702C" w:rsidRDefault="00D4702C" w:rsidP="00D4702C">
      <w:pPr>
        <w:pStyle w:val="ListParagraph"/>
        <w:widowControl w:val="0"/>
        <w:tabs>
          <w:tab w:val="left" w:pos="1260"/>
        </w:tabs>
        <w:autoSpaceDE w:val="0"/>
        <w:autoSpaceDN w:val="0"/>
        <w:adjustRightInd w:val="0"/>
        <w:spacing w:before="120" w:after="120"/>
        <w:ind w:left="1170" w:hanging="436"/>
        <w:rPr>
          <w:szCs w:val="22"/>
        </w:rPr>
      </w:pPr>
    </w:p>
    <w:p w14:paraId="6492C1BF" w14:textId="77777777" w:rsidR="00D4702C" w:rsidRDefault="00D4702C" w:rsidP="00D4702C">
      <w:pPr>
        <w:pStyle w:val="ListParagraph"/>
        <w:widowControl w:val="0"/>
        <w:numPr>
          <w:ilvl w:val="1"/>
          <w:numId w:val="42"/>
        </w:numPr>
        <w:tabs>
          <w:tab w:val="left" w:pos="1260"/>
        </w:tabs>
        <w:autoSpaceDE w:val="0"/>
        <w:autoSpaceDN w:val="0"/>
        <w:adjustRightInd w:val="0"/>
        <w:spacing w:before="120" w:after="120"/>
        <w:ind w:left="1152"/>
        <w:rPr>
          <w:szCs w:val="22"/>
        </w:rPr>
      </w:pPr>
      <w:r>
        <w:rPr>
          <w:rFonts w:ascii="Cambria" w:hAnsi="Cambria"/>
          <w:szCs w:val="22"/>
        </w:rPr>
        <w:t xml:space="preserve">Domain names registered using the </w:t>
      </w:r>
      <w:r>
        <w:rPr>
          <w:rFonts w:ascii="Cambria" w:hAnsi="Cambria" w:cs="Cambria"/>
          <w:szCs w:val="22"/>
        </w:rPr>
        <w:t>"</w:t>
      </w:r>
      <w:r>
        <w:rPr>
          <w:rFonts w:ascii="Cambria" w:hAnsi="Cambria"/>
          <w:szCs w:val="22"/>
        </w:rPr>
        <w:t>Blocked Names</w:t>
      </w:r>
      <w:r>
        <w:rPr>
          <w:rFonts w:ascii="Cambria" w:hAnsi="Cambria" w:cs="Cambria"/>
          <w:szCs w:val="22"/>
        </w:rPr>
        <w:t>"</w:t>
      </w:r>
      <w:r>
        <w:rPr>
          <w:rFonts w:ascii="Cambria" w:hAnsi="Cambria"/>
          <w:szCs w:val="22"/>
        </w:rPr>
        <w:t xml:space="preserve"> service may be activated for the purpose of displaying a web page stating that the domain name has been registered as a "Blocked Name".</w:t>
      </w: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618AE2" w14:textId="77777777" w:rsidR="00466D79" w:rsidRDefault="00466D79">
      <w:pPr>
        <w:pStyle w:val="Footer"/>
      </w:pPr>
    </w:p>
  </w:endnote>
  <w:endnote w:type="continuationSeparator" w:id="0">
    <w:p w14:paraId="00FF86F5" w14:textId="77777777" w:rsidR="00466D79" w:rsidRDefault="00466D7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22699A0"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60388D">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0388D">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60388D">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0388D">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0388D">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0388D">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60388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0388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0388D">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60388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60388D">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0388D">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0388D">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F8BF02" w14:textId="77777777" w:rsidR="00466D79" w:rsidRDefault="00466D79">
      <w:r>
        <w:separator/>
      </w:r>
    </w:p>
  </w:footnote>
  <w:footnote w:type="continuationSeparator" w:id="0">
    <w:p w14:paraId="339F6B37" w14:textId="77777777" w:rsidR="00466D79" w:rsidRDefault="00466D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nhha0iqHLZFNFZ48oGtCCOZUOcgneBmB0JBobOLJmKpElN/mQhLD+byGaYmxT7Nx8rW/BQK8PEqjCssQpNafRw==" w:salt="xgHe9RCdH0vy1uwQ3DNxQ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66D79"/>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90569"/>
    <w:rsid w:val="0059273A"/>
    <w:rsid w:val="005F5F5D"/>
    <w:rsid w:val="0060388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0581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69CB"/>
    <w:rsid w:val="00CE660D"/>
    <w:rsid w:val="00D135D7"/>
    <w:rsid w:val="00D16CC5"/>
    <w:rsid w:val="00D4038D"/>
    <w:rsid w:val="00D4702C"/>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940624A-B19C-4752-A422-B9C3A906E525}"/>
</file>

<file path=customXml/itemProps2.xml><?xml version="1.0" encoding="utf-8"?>
<ds:datastoreItem xmlns:ds="http://schemas.openxmlformats.org/officeDocument/2006/customXml" ds:itemID="{60D2949D-E4D4-4DC5-A6D4-D70A2CB9FE0A}"/>
</file>

<file path=customXml/itemProps3.xml><?xml version="1.0" encoding="utf-8"?>
<ds:datastoreItem xmlns:ds="http://schemas.openxmlformats.org/officeDocument/2006/customXml" ds:itemID="{E191F94B-45FC-4CED-9A26-2DB8DFDC5EAE}"/>
</file>

<file path=docProps/app.xml><?xml version="1.0" encoding="utf-8"?>
<Properties xmlns="http://schemas.openxmlformats.org/officeDocument/2006/extended-properties" xmlns:vt="http://schemas.openxmlformats.org/officeDocument/2006/docPropsVTypes">
  <Template>Normal</Template>
  <TotalTime>0</TotalTime>
  <Pages>89</Pages>
  <Words>32967</Words>
  <Characters>187916</Characters>
  <Application>Microsoft Office Word</Application>
  <DocSecurity>8</DocSecurity>
  <Lines>1565</Lines>
  <Paragraphs>440</Paragraphs>
  <ScaleCrop>false</ScaleCrop>
  <Manager/>
  <Company/>
  <LinksUpToDate>false</LinksUpToDate>
  <CharactersWithSpaces>220443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2015-04-02T19:32:00Z</dcterms:created>
  <dcterms:modified xsi:type="dcterms:W3CDTF">2015-04-02T19:32:00Z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