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BDCE46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C515D">
        <w:rPr>
          <w:rFonts w:asciiTheme="majorHAnsi" w:hAnsiTheme="majorHAnsi"/>
          <w:sz w:val="24"/>
          <w:szCs w:val="24"/>
        </w:rPr>
        <w:t>Dot London Domains Limited</w:t>
      </w:r>
      <w:r w:rsidR="00A01BAD">
        <w:rPr>
          <w:rFonts w:asciiTheme="majorHAnsi" w:hAnsiTheme="majorHAnsi"/>
          <w:sz w:val="24"/>
          <w:szCs w:val="24"/>
        </w:rPr>
        <w:t xml:space="preserve">, </w:t>
      </w:r>
      <w:r w:rsidR="004520B6">
        <w:rPr>
          <w:rFonts w:asciiTheme="majorHAnsi" w:hAnsiTheme="majorHAnsi"/>
          <w:sz w:val="24"/>
          <w:szCs w:val="24"/>
        </w:rPr>
        <w:t>a</w:t>
      </w:r>
      <w:r w:rsidR="00992BFB">
        <w:rPr>
          <w:rFonts w:asciiTheme="majorHAnsi" w:hAnsiTheme="majorHAnsi"/>
          <w:sz w:val="24"/>
          <w:szCs w:val="24"/>
        </w:rPr>
        <w:t xml:space="preserve"> </w:t>
      </w:r>
      <w:r w:rsidR="00275028">
        <w:rPr>
          <w:rFonts w:asciiTheme="majorHAnsi" w:hAnsiTheme="majorHAnsi"/>
          <w:sz w:val="24"/>
          <w:szCs w:val="24"/>
        </w:rPr>
        <w:t>company formed under the law</w:t>
      </w:r>
      <w:r w:rsidR="00654B38">
        <w:rPr>
          <w:rFonts w:asciiTheme="majorHAnsi" w:hAnsiTheme="majorHAnsi"/>
          <w:sz w:val="24"/>
          <w:szCs w:val="24"/>
        </w:rPr>
        <w:t>s</w:t>
      </w:r>
      <w:r w:rsidR="00275028">
        <w:rPr>
          <w:rFonts w:asciiTheme="majorHAnsi" w:hAnsiTheme="majorHAnsi"/>
          <w:sz w:val="24"/>
          <w:szCs w:val="24"/>
        </w:rPr>
        <w:t xml:space="preserve"> of United Kingdom</w:t>
      </w:r>
      <w:r w:rsidR="00992BFB">
        <w:rPr>
          <w:rFonts w:asciiTheme="majorHAnsi" w:hAnsiTheme="majorHAnsi"/>
          <w:sz w:val="24"/>
          <w:szCs w:val="24"/>
        </w:rPr>
        <w:t xml:space="preserve"> </w:t>
      </w:r>
      <w:r w:rsidR="00A41F74">
        <w:rPr>
          <w:rFonts w:asciiTheme="majorHAnsi" w:hAnsiTheme="majorHAnsi"/>
          <w:sz w:val="24"/>
          <w:szCs w:val="24"/>
        </w:rPr>
        <w:t>(“Registry Operator”)</w:t>
      </w:r>
      <w:r w:rsidR="00992BFB">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E6C75F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4C515D">
        <w:rPr>
          <w:rFonts w:asciiTheme="majorHAnsi" w:hAnsiTheme="majorHAnsi"/>
          <w:b/>
          <w:szCs w:val="24"/>
        </w:rPr>
        <w:t>london</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2B094AD1" w:rsidR="00115B11" w:rsidRDefault="005332B6" w:rsidP="00DB7962">
      <w:pPr>
        <w:pStyle w:val="ARTICLEAL3"/>
      </w:pPr>
      <w: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8CA466" w14:textId="0CBD0E2E" w:rsidR="00BD4CE9"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16C77">
        <w:rPr>
          <w:rFonts w:asciiTheme="majorHAnsi" w:hAnsiTheme="majorHAnsi"/>
          <w:sz w:val="24"/>
          <w:szCs w:val="24"/>
        </w:rPr>
        <w:t xml:space="preserve">Dot </w:t>
      </w:r>
      <w:r w:rsidR="00BD4CE9">
        <w:rPr>
          <w:rFonts w:asciiTheme="majorHAnsi" w:hAnsiTheme="majorHAnsi"/>
          <w:sz w:val="24"/>
          <w:szCs w:val="24"/>
        </w:rPr>
        <w:t>London Domains Limited</w:t>
      </w:r>
      <w:r w:rsidRPr="005229EC">
        <w:rPr>
          <w:rFonts w:asciiTheme="majorHAnsi" w:hAnsiTheme="majorHAnsi"/>
          <w:sz w:val="24"/>
          <w:szCs w:val="24"/>
        </w:rPr>
        <w:br/>
      </w:r>
      <w:r w:rsidR="00BD4CE9">
        <w:rPr>
          <w:rFonts w:asciiTheme="majorHAnsi" w:eastAsia="DFKai-SB" w:hAnsiTheme="majorHAnsi" w:cs="Arial"/>
          <w:sz w:val="24"/>
          <w:szCs w:val="24"/>
        </w:rPr>
        <w:t>6</w:t>
      </w:r>
      <w:r w:rsidR="00BD4CE9" w:rsidRPr="00BD4CE9">
        <w:rPr>
          <w:rFonts w:asciiTheme="majorHAnsi" w:eastAsia="DFKai-SB" w:hAnsiTheme="majorHAnsi" w:cs="Arial"/>
          <w:sz w:val="24"/>
          <w:szCs w:val="24"/>
          <w:vertAlign w:val="superscript"/>
        </w:rPr>
        <w:t>th</w:t>
      </w:r>
      <w:r w:rsidR="00BD4CE9">
        <w:rPr>
          <w:rFonts w:asciiTheme="majorHAnsi" w:eastAsia="DFKai-SB" w:hAnsiTheme="majorHAnsi" w:cs="Arial"/>
          <w:sz w:val="24"/>
          <w:szCs w:val="24"/>
        </w:rPr>
        <w:t xml:space="preserve"> Floor</w:t>
      </w:r>
    </w:p>
    <w:p w14:paraId="77463DF5" w14:textId="55EACE73" w:rsidR="005229EC" w:rsidRPr="005229EC" w:rsidRDefault="00BD4CE9" w:rsidP="005229EC">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2 More London Riverside</w:t>
      </w:r>
    </w:p>
    <w:p w14:paraId="0597C6C0" w14:textId="77777777" w:rsidR="00BD4CE9" w:rsidRDefault="00BD4CE9" w:rsidP="00BD4CE9">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London SE1 2RR</w:t>
      </w:r>
    </w:p>
    <w:p w14:paraId="25C106E0" w14:textId="2AB07025" w:rsidR="0046082C" w:rsidRPr="00BD4CE9" w:rsidRDefault="00BD4CE9" w:rsidP="00BD4CE9">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GB</w:t>
      </w:r>
    </w:p>
    <w:p w14:paraId="223E1122" w14:textId="1F4306A9"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BD4CE9">
        <w:rPr>
          <w:rFonts w:asciiTheme="majorHAnsi" w:eastAsia="DFKai-SB" w:hAnsiTheme="majorHAnsi" w:cs="Arial"/>
          <w:sz w:val="24"/>
          <w:szCs w:val="24"/>
        </w:rPr>
        <w:t>44-020-7234-5800</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BD4CE9">
        <w:rPr>
          <w:rFonts w:asciiTheme="majorHAnsi" w:hAnsiTheme="majorHAnsi"/>
          <w:sz w:val="24"/>
          <w:szCs w:val="24"/>
        </w:rPr>
        <w:t>44-</w:t>
      </w:r>
      <w:r w:rsidR="005229EC">
        <w:rPr>
          <w:rFonts w:asciiTheme="majorHAnsi" w:hAnsiTheme="majorHAnsi"/>
          <w:sz w:val="24"/>
          <w:szCs w:val="24"/>
        </w:rPr>
        <w:t>0</w:t>
      </w:r>
      <w:r w:rsidR="00BD4CE9">
        <w:rPr>
          <w:rFonts w:asciiTheme="majorHAnsi" w:hAnsiTheme="majorHAnsi"/>
          <w:sz w:val="24"/>
          <w:szCs w:val="24"/>
        </w:rPr>
        <w:t>20-7378-6525</w:t>
      </w:r>
      <w:r w:rsidRPr="0046082C">
        <w:rPr>
          <w:rFonts w:asciiTheme="majorHAnsi" w:hAnsiTheme="majorHAnsi"/>
          <w:sz w:val="24"/>
          <w:szCs w:val="24"/>
        </w:rPr>
        <w:br/>
        <w:t xml:space="preserve">Attention:  </w:t>
      </w:r>
      <w:r w:rsidR="006A257B">
        <w:rPr>
          <w:rFonts w:asciiTheme="majorHAnsi" w:hAnsiTheme="majorHAnsi"/>
          <w:sz w:val="24"/>
          <w:szCs w:val="24"/>
        </w:rPr>
        <w:t>Andrew John Cooke, Company Secretary</w:t>
      </w:r>
    </w:p>
    <w:p w14:paraId="42241A9F" w14:textId="63506BC3"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6A257B">
        <w:rPr>
          <w:rFonts w:asciiTheme="majorHAnsi" w:hAnsiTheme="majorHAnsi"/>
          <w:sz w:val="24"/>
          <w:szCs w:val="24"/>
        </w:rPr>
        <w:t>acooke</w:t>
      </w:r>
      <w:r w:rsidR="00BD4CE9">
        <w:rPr>
          <w:rFonts w:asciiTheme="majorHAnsi" w:hAnsiTheme="majorHAnsi"/>
          <w:sz w:val="24"/>
          <w:szCs w:val="24"/>
        </w:rPr>
        <w:t>@londonandpartners.com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1F112895" w:rsidR="00115B11" w:rsidRPr="0046082C" w:rsidRDefault="00BD4CE9">
      <w:pPr>
        <w:pStyle w:val="BodyText"/>
        <w:rPr>
          <w:rFonts w:asciiTheme="majorHAnsi" w:hAnsiTheme="majorHAnsi"/>
          <w:b/>
          <w:sz w:val="24"/>
          <w:szCs w:val="24"/>
        </w:rPr>
      </w:pPr>
      <w:r>
        <w:rPr>
          <w:rFonts w:asciiTheme="majorHAnsi" w:hAnsiTheme="majorHAnsi"/>
          <w:b/>
          <w:sz w:val="24"/>
          <w:szCs w:val="24"/>
        </w:rPr>
        <w:t>DOT LONDON DOMAINS LIMITED</w:t>
      </w:r>
    </w:p>
    <w:p w14:paraId="15770A7A" w14:textId="3834790E" w:rsidR="00BD4CE9" w:rsidRDefault="005332B6" w:rsidP="00BD4CE9">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BD4CE9">
        <w:rPr>
          <w:rFonts w:asciiTheme="majorHAnsi" w:hAnsiTheme="majorHAnsi"/>
          <w:sz w:val="24"/>
          <w:szCs w:val="24"/>
        </w:rPr>
        <w:t>Gordon David Innes</w:t>
      </w:r>
      <w:r w:rsidR="00BD4CE9">
        <w:rPr>
          <w:rFonts w:asciiTheme="majorHAnsi" w:hAnsiTheme="majorHAnsi"/>
          <w:sz w:val="24"/>
          <w:szCs w:val="24"/>
        </w:rPr>
        <w:tab/>
      </w:r>
    </w:p>
    <w:p w14:paraId="291A593F" w14:textId="43AF53F3" w:rsidR="00115B11" w:rsidRDefault="00BD4CE9" w:rsidP="00BD4CE9">
      <w:pPr>
        <w:pStyle w:val="BodyTextIndent2"/>
        <w:rPr>
          <w:rFonts w:asciiTheme="majorHAnsi" w:hAnsiTheme="majorHAnsi"/>
          <w:sz w:val="24"/>
          <w:szCs w:val="24"/>
        </w:rPr>
      </w:pPr>
      <w:r>
        <w:rPr>
          <w:rFonts w:asciiTheme="majorHAnsi" w:hAnsiTheme="majorHAnsi"/>
          <w:sz w:val="24"/>
          <w:szCs w:val="24"/>
        </w:rPr>
        <w:tab/>
        <w:t>Chief Executive Officer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FF7E51D" w14:textId="2DB5BE4B" w:rsidR="00844E44" w:rsidRPr="00B8774B" w:rsidRDefault="00844E44" w:rsidP="00844E44">
      <w:pPr>
        <w:spacing w:before="100" w:beforeAutospacing="1" w:after="100" w:afterAutospacing="1"/>
        <w:rPr>
          <w:rFonts w:asciiTheme="majorHAnsi" w:hAnsiTheme="majorHAnsi"/>
          <w:sz w:val="23"/>
          <w:szCs w:val="23"/>
        </w:rPr>
      </w:pPr>
      <w:r w:rsidRPr="00B8774B">
        <w:rPr>
          <w:rFonts w:asciiTheme="majorHAnsi" w:hAnsiTheme="majorHAnsi"/>
          <w:sz w:val="23"/>
          <w:szCs w:val="23"/>
        </w:rPr>
        <w:t xml:space="preserve">The ICANN </w:t>
      </w:r>
      <w:proofErr w:type="spellStart"/>
      <w:r w:rsidRPr="00B8774B">
        <w:rPr>
          <w:rFonts w:asciiTheme="majorHAnsi" w:hAnsiTheme="majorHAnsi"/>
          <w:sz w:val="23"/>
          <w:szCs w:val="23"/>
        </w:rPr>
        <w:t>gTLD</w:t>
      </w:r>
      <w:proofErr w:type="spellEnd"/>
      <w:r w:rsidRPr="00B8774B">
        <w:rPr>
          <w:rFonts w:asciiTheme="majorHAnsi" w:hAnsiTheme="majorHAnsi"/>
          <w:sz w:val="23"/>
          <w:szCs w:val="23"/>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41D4A0D" w14:textId="77777777" w:rsidR="00844E44" w:rsidRPr="00B8774B" w:rsidRDefault="00844E44" w:rsidP="00BC2AE3">
      <w:pPr>
        <w:numPr>
          <w:ilvl w:val="0"/>
          <w:numId w:val="17"/>
        </w:numPr>
        <w:spacing w:before="480" w:after="200" w:line="276" w:lineRule="auto"/>
        <w:ind w:left="720"/>
        <w:outlineLvl w:val="0"/>
        <w:rPr>
          <w:rFonts w:asciiTheme="majorHAnsi" w:eastAsia="Arial" w:hAnsiTheme="majorHAnsi" w:cs="Arial"/>
          <w:b/>
          <w:color w:val="000000"/>
          <w:sz w:val="24"/>
          <w:szCs w:val="24"/>
          <w:lang w:eastAsia="ja-JP"/>
        </w:rPr>
      </w:pPr>
      <w:r w:rsidRPr="00B8774B">
        <w:rPr>
          <w:rFonts w:asciiTheme="majorHAnsi" w:eastAsia="Arial" w:hAnsiTheme="majorHAnsi" w:cs="Arial"/>
          <w:b/>
          <w:color w:val="000000"/>
          <w:sz w:val="24"/>
          <w:szCs w:val="24"/>
          <w:lang w:eastAsia="ja-JP"/>
        </w:rPr>
        <w:t>DNS Service – TLD Zone Contents</w:t>
      </w:r>
    </w:p>
    <w:p w14:paraId="72AE9742" w14:textId="77777777" w:rsidR="00844E44" w:rsidRPr="00B8774B" w:rsidRDefault="00844E44" w:rsidP="00844E44">
      <w:pPr>
        <w:spacing w:after="200"/>
        <w:ind w:left="360"/>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 xml:space="preserve">Notwithstanding anything else in this Agreement, as indicated in section 2.2.3.3 of the </w:t>
      </w:r>
      <w:proofErr w:type="spellStart"/>
      <w:r w:rsidRPr="00B8774B">
        <w:rPr>
          <w:rFonts w:asciiTheme="majorHAnsi" w:eastAsia="Arial" w:hAnsiTheme="majorHAnsi" w:cs="Arial"/>
          <w:color w:val="000000"/>
          <w:sz w:val="24"/>
          <w:szCs w:val="24"/>
          <w:lang w:eastAsia="ja-JP"/>
        </w:rPr>
        <w:t>gTLD</w:t>
      </w:r>
      <w:proofErr w:type="spellEnd"/>
      <w:r w:rsidRPr="00B8774B">
        <w:rPr>
          <w:rFonts w:asciiTheme="majorHAnsi" w:eastAsia="Arial" w:hAnsiTheme="majorHAnsi" w:cs="Arial"/>
          <w:color w:val="000000"/>
          <w:sz w:val="24"/>
          <w:szCs w:val="24"/>
          <w:lang w:eastAsia="ja-JP"/>
        </w:rPr>
        <w:t xml:space="preserve"> Applicant Guidebook, permissible contents for the TLD’s zone are:</w:t>
      </w:r>
    </w:p>
    <w:p w14:paraId="2EEDA435" w14:textId="77777777" w:rsidR="00844E44" w:rsidRPr="00B8774B" w:rsidRDefault="00844E44" w:rsidP="00BC2AE3">
      <w:pPr>
        <w:numPr>
          <w:ilvl w:val="1"/>
          <w:numId w:val="17"/>
        </w:numPr>
        <w:spacing w:after="200"/>
        <w:ind w:left="1152"/>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Apex SOA record</w:t>
      </w:r>
    </w:p>
    <w:p w14:paraId="6DC14803" w14:textId="77777777" w:rsidR="00844E44" w:rsidRPr="00B8774B" w:rsidRDefault="00844E44" w:rsidP="00BC2AE3">
      <w:pPr>
        <w:numPr>
          <w:ilvl w:val="1"/>
          <w:numId w:val="17"/>
        </w:numPr>
        <w:spacing w:after="200"/>
        <w:ind w:left="1152"/>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Apex NS records and in-bailiwick glue for the TLD’s DNS servers</w:t>
      </w:r>
    </w:p>
    <w:p w14:paraId="2AF49539" w14:textId="77777777" w:rsidR="00844E44" w:rsidRPr="00B8774B" w:rsidRDefault="00844E44" w:rsidP="00BC2AE3">
      <w:pPr>
        <w:numPr>
          <w:ilvl w:val="1"/>
          <w:numId w:val="17"/>
        </w:numPr>
        <w:spacing w:after="200"/>
        <w:ind w:left="1152"/>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NS records and in-bailiwick glue for DNS servers of registered names in the TLD</w:t>
      </w:r>
    </w:p>
    <w:p w14:paraId="040D888C" w14:textId="77777777" w:rsidR="00844E44" w:rsidRPr="00B8774B" w:rsidRDefault="00844E44" w:rsidP="00BC2AE3">
      <w:pPr>
        <w:numPr>
          <w:ilvl w:val="1"/>
          <w:numId w:val="17"/>
        </w:numPr>
        <w:spacing w:after="200"/>
        <w:ind w:left="1152"/>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DS records for registered names in the TLD</w:t>
      </w:r>
    </w:p>
    <w:p w14:paraId="163C185C" w14:textId="77777777" w:rsidR="00844E44" w:rsidRPr="00B8774B" w:rsidRDefault="00844E44" w:rsidP="00BC2AE3">
      <w:pPr>
        <w:numPr>
          <w:ilvl w:val="1"/>
          <w:numId w:val="17"/>
        </w:numPr>
        <w:spacing w:after="200"/>
        <w:ind w:left="1152"/>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Records associated with signing the TLD zone (i.e., RRSIG, DNSKEY, NSEC, and NSEC3)</w:t>
      </w:r>
    </w:p>
    <w:p w14:paraId="1A7F4F6D" w14:textId="77777777" w:rsidR="00844E44" w:rsidRPr="00B8774B" w:rsidRDefault="00844E44" w:rsidP="00844E44">
      <w:pPr>
        <w:spacing w:after="200"/>
        <w:ind w:left="360"/>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 xml:space="preserve">(Note:  The above language effectively does not allow, among other things, the inclusion of DNS resource records that would enable a </w:t>
      </w:r>
      <w:proofErr w:type="spellStart"/>
      <w:r w:rsidRPr="00B8774B">
        <w:rPr>
          <w:rFonts w:asciiTheme="majorHAnsi" w:eastAsia="Arial" w:hAnsiTheme="majorHAnsi" w:cs="Arial"/>
          <w:color w:val="000000"/>
          <w:sz w:val="24"/>
          <w:szCs w:val="24"/>
          <w:lang w:eastAsia="ja-JP"/>
        </w:rPr>
        <w:t>dotless</w:t>
      </w:r>
      <w:proofErr w:type="spellEnd"/>
      <w:r w:rsidRPr="00B8774B">
        <w:rPr>
          <w:rFonts w:asciiTheme="majorHAnsi" w:eastAsia="Arial" w:hAnsiTheme="majorHAnsi" w:cs="Arial"/>
          <w:color w:val="000000"/>
          <w:sz w:val="24"/>
          <w:szCs w:val="24"/>
          <w:lang w:eastAsia="ja-JP"/>
        </w:rPr>
        <w:t xml:space="preserve"> domain name (e.g., apex A, AAAA, MX records) in the TLD zone.)</w:t>
      </w:r>
    </w:p>
    <w:p w14:paraId="2116BF73" w14:textId="77777777" w:rsidR="00844E44" w:rsidRPr="00B8774B" w:rsidRDefault="00844E44" w:rsidP="00844E44">
      <w:pPr>
        <w:spacing w:after="200"/>
        <w:ind w:left="360"/>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0BB50C2" w14:textId="77777777" w:rsidR="00844E44" w:rsidRPr="00B8774B" w:rsidRDefault="00844E44" w:rsidP="00BC2AE3">
      <w:pPr>
        <w:numPr>
          <w:ilvl w:val="0"/>
          <w:numId w:val="17"/>
        </w:numPr>
        <w:spacing w:before="480" w:after="200" w:line="276" w:lineRule="auto"/>
        <w:ind w:left="720"/>
        <w:outlineLvl w:val="0"/>
        <w:rPr>
          <w:rFonts w:asciiTheme="majorHAnsi" w:eastAsia="Arial" w:hAnsiTheme="majorHAnsi" w:cs="Arial"/>
          <w:b/>
          <w:color w:val="000000"/>
          <w:sz w:val="24"/>
          <w:szCs w:val="24"/>
          <w:lang w:eastAsia="ja-JP"/>
        </w:rPr>
      </w:pPr>
      <w:bookmarkStart w:id="1" w:name="h.30j0zll" w:colFirst="0" w:colLast="0"/>
      <w:bookmarkStart w:id="2" w:name="h.1fob9te" w:colFirst="0" w:colLast="0"/>
      <w:bookmarkStart w:id="3" w:name="h.3znysh7" w:colFirst="0" w:colLast="0"/>
      <w:bookmarkEnd w:id="1"/>
      <w:bookmarkEnd w:id="2"/>
      <w:bookmarkEnd w:id="3"/>
      <w:r w:rsidRPr="00B8774B">
        <w:rPr>
          <w:rFonts w:asciiTheme="majorHAnsi" w:eastAsia="Arial" w:hAnsiTheme="majorHAnsi" w:cs="Arial"/>
          <w:b/>
          <w:color w:val="000000"/>
          <w:sz w:val="24"/>
          <w:szCs w:val="24"/>
          <w:lang w:eastAsia="ja-JP"/>
        </w:rPr>
        <w:t>Internationalized Domain Names (IDNs)</w:t>
      </w:r>
    </w:p>
    <w:p w14:paraId="2D15DBE0" w14:textId="77777777" w:rsidR="00844E44" w:rsidRPr="00B8774B" w:rsidRDefault="00844E44" w:rsidP="00844E44">
      <w:pPr>
        <w:spacing w:after="200"/>
        <w:ind w:left="360"/>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Registry Operator may offer registration of IDNs at the second and lower levels provided that Registry Operator complies with the following requirements:</w:t>
      </w:r>
    </w:p>
    <w:p w14:paraId="3AA0D919" w14:textId="77777777" w:rsidR="00844E44" w:rsidRPr="00B8774B" w:rsidRDefault="00844E44" w:rsidP="00BC2AE3">
      <w:pPr>
        <w:numPr>
          <w:ilvl w:val="1"/>
          <w:numId w:val="17"/>
        </w:numPr>
        <w:spacing w:after="200"/>
        <w:ind w:left="1152"/>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Registry Operator must offer Registrars support for handling IDN registrations in EPP.</w:t>
      </w:r>
    </w:p>
    <w:p w14:paraId="47B56651" w14:textId="77777777" w:rsidR="00844E44" w:rsidRPr="00B8774B" w:rsidRDefault="00844E44" w:rsidP="00BC2AE3">
      <w:pPr>
        <w:numPr>
          <w:ilvl w:val="1"/>
          <w:numId w:val="17"/>
        </w:numPr>
        <w:spacing w:after="200"/>
        <w:ind w:left="1152"/>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Registry Operator will not offer variant IDNs.</w:t>
      </w:r>
    </w:p>
    <w:p w14:paraId="15230580" w14:textId="77777777" w:rsidR="00844E44" w:rsidRPr="00B8774B" w:rsidRDefault="00844E44" w:rsidP="00BC2AE3">
      <w:pPr>
        <w:numPr>
          <w:ilvl w:val="1"/>
          <w:numId w:val="17"/>
        </w:numPr>
        <w:spacing w:after="200"/>
        <w:ind w:left="1152"/>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Operator may offer registration of IDNs in the following languages/scripts (IDN Tables and IDN Registration Rules will be published by the Registry Operator as specified in the ICANN IDN Implementation Guidelines):</w:t>
      </w:r>
    </w:p>
    <w:p w14:paraId="7B96AB54" w14:textId="77777777" w:rsidR="00844E44" w:rsidRPr="00B8774B" w:rsidRDefault="00844E44" w:rsidP="00BC2AE3">
      <w:pPr>
        <w:numPr>
          <w:ilvl w:val="2"/>
          <w:numId w:val="17"/>
        </w:numPr>
        <w:spacing w:after="200"/>
        <w:ind w:left="1584"/>
        <w:rPr>
          <w:rFonts w:asciiTheme="majorHAnsi" w:eastAsia="Arial" w:hAnsiTheme="majorHAnsi" w:cs="Arial"/>
          <w:color w:val="000000"/>
          <w:sz w:val="24"/>
          <w:szCs w:val="24"/>
          <w:lang w:eastAsia="ja-JP"/>
        </w:rPr>
      </w:pPr>
      <w:bookmarkStart w:id="4" w:name="h.2s8eyo1" w:colFirst="0" w:colLast="0"/>
      <w:bookmarkEnd w:id="4"/>
      <w:r w:rsidRPr="00B8774B">
        <w:rPr>
          <w:rFonts w:asciiTheme="majorHAnsi" w:eastAsia="Arial" w:hAnsiTheme="majorHAnsi" w:cs="Arial"/>
          <w:color w:val="000000"/>
          <w:sz w:val="24"/>
          <w:szCs w:val="24"/>
          <w:lang w:eastAsia="ja-JP"/>
        </w:rPr>
        <w:t>Spanish language</w:t>
      </w:r>
    </w:p>
    <w:p w14:paraId="5E37BFAF" w14:textId="77777777" w:rsidR="00844E44" w:rsidRPr="00B8774B" w:rsidRDefault="00844E44" w:rsidP="00BC2AE3">
      <w:pPr>
        <w:numPr>
          <w:ilvl w:val="2"/>
          <w:numId w:val="17"/>
        </w:numPr>
        <w:spacing w:after="200"/>
        <w:ind w:left="1584"/>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German language</w:t>
      </w:r>
    </w:p>
    <w:p w14:paraId="1BC17451" w14:textId="77777777" w:rsidR="00844E44" w:rsidRPr="00B8774B" w:rsidRDefault="00844E44" w:rsidP="00BC2AE3">
      <w:pPr>
        <w:numPr>
          <w:ilvl w:val="2"/>
          <w:numId w:val="17"/>
        </w:numPr>
        <w:spacing w:after="200"/>
        <w:ind w:left="1584"/>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French language</w:t>
      </w:r>
    </w:p>
    <w:p w14:paraId="679815CC" w14:textId="77777777" w:rsidR="00844E44" w:rsidRPr="00B8774B" w:rsidRDefault="00844E44" w:rsidP="00BC2AE3">
      <w:pPr>
        <w:numPr>
          <w:ilvl w:val="2"/>
          <w:numId w:val="17"/>
        </w:numPr>
        <w:spacing w:after="200"/>
        <w:ind w:left="1584"/>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Italian language</w:t>
      </w:r>
    </w:p>
    <w:p w14:paraId="50893329" w14:textId="77777777" w:rsidR="00844E44" w:rsidRPr="00B8774B" w:rsidRDefault="00844E44" w:rsidP="00BC2AE3">
      <w:pPr>
        <w:numPr>
          <w:ilvl w:val="0"/>
          <w:numId w:val="17"/>
        </w:numPr>
        <w:spacing w:before="480" w:after="200" w:line="276" w:lineRule="auto"/>
        <w:ind w:left="720"/>
        <w:outlineLvl w:val="0"/>
        <w:rPr>
          <w:rFonts w:asciiTheme="majorHAnsi" w:eastAsia="Arial" w:hAnsiTheme="majorHAnsi" w:cs="Arial"/>
          <w:b/>
          <w:color w:val="000000"/>
          <w:sz w:val="24"/>
          <w:szCs w:val="24"/>
          <w:lang w:eastAsia="ja-JP"/>
        </w:rPr>
      </w:pPr>
      <w:r w:rsidRPr="00B8774B">
        <w:rPr>
          <w:rFonts w:asciiTheme="majorHAnsi" w:eastAsia="Arial" w:hAnsiTheme="majorHAnsi" w:cs="Arial"/>
          <w:b/>
          <w:color w:val="000000"/>
          <w:sz w:val="24"/>
          <w:szCs w:val="24"/>
          <w:lang w:eastAsia="ja-JP"/>
        </w:rPr>
        <w:t>Anti-Abuse</w:t>
      </w:r>
    </w:p>
    <w:p w14:paraId="3A7C95FE" w14:textId="77777777" w:rsidR="00844E44" w:rsidRPr="00B8774B" w:rsidRDefault="00844E44" w:rsidP="00844E44">
      <w:pPr>
        <w:spacing w:before="480" w:after="200" w:line="276" w:lineRule="auto"/>
        <w:ind w:left="720"/>
        <w:outlineLvl w:val="0"/>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Registry Operator may suspend, delete or otherwise make changes to domain names in compliance with its anti-abuse policy.  Registry Operator may redirect the domain name to a website displaying that the domain name has been suspended pursue to the Registry Operator's anti-abuse policy.</w:t>
      </w:r>
    </w:p>
    <w:p w14:paraId="589312E7" w14:textId="77777777" w:rsidR="00844E44" w:rsidRPr="00B8774B" w:rsidRDefault="00844E44" w:rsidP="00BC2AE3">
      <w:pPr>
        <w:numPr>
          <w:ilvl w:val="0"/>
          <w:numId w:val="17"/>
        </w:numPr>
        <w:spacing w:before="480" w:after="200" w:line="276" w:lineRule="auto"/>
        <w:ind w:left="720"/>
        <w:outlineLvl w:val="0"/>
        <w:rPr>
          <w:rFonts w:asciiTheme="majorHAnsi" w:eastAsia="Arial" w:hAnsiTheme="majorHAnsi" w:cs="Arial"/>
          <w:b/>
          <w:color w:val="000000"/>
          <w:sz w:val="24"/>
          <w:szCs w:val="24"/>
          <w:lang w:eastAsia="ja-JP"/>
        </w:rPr>
      </w:pPr>
      <w:r w:rsidRPr="00B8774B">
        <w:rPr>
          <w:rFonts w:asciiTheme="majorHAnsi" w:eastAsia="Arial" w:hAnsiTheme="majorHAnsi" w:cs="Arial"/>
          <w:b/>
          <w:color w:val="000000"/>
          <w:sz w:val="24"/>
          <w:szCs w:val="24"/>
          <w:lang w:eastAsia="ja-JP"/>
        </w:rPr>
        <w:t xml:space="preserve">Searchable </w:t>
      </w:r>
      <w:proofErr w:type="spellStart"/>
      <w:r w:rsidRPr="00B8774B">
        <w:rPr>
          <w:rFonts w:asciiTheme="majorHAnsi" w:eastAsia="Arial" w:hAnsiTheme="majorHAnsi" w:cs="Arial"/>
          <w:b/>
          <w:color w:val="000000"/>
          <w:sz w:val="24"/>
          <w:szCs w:val="24"/>
          <w:lang w:eastAsia="ja-JP"/>
        </w:rPr>
        <w:t>Whois</w:t>
      </w:r>
      <w:proofErr w:type="spellEnd"/>
    </w:p>
    <w:p w14:paraId="1D491BC2" w14:textId="77777777" w:rsidR="00844E44" w:rsidRPr="00B8774B" w:rsidRDefault="00844E44" w:rsidP="00844E44">
      <w:pPr>
        <w:spacing w:after="200"/>
        <w:ind w:left="720"/>
        <w:rPr>
          <w:rFonts w:asciiTheme="majorHAnsi" w:eastAsia="Times New Roman" w:hAnsiTheme="majorHAnsi"/>
          <w:sz w:val="24"/>
          <w:szCs w:val="24"/>
        </w:rPr>
      </w:pPr>
      <w:r w:rsidRPr="00B8774B">
        <w:rPr>
          <w:rFonts w:asciiTheme="majorHAnsi" w:eastAsia="Arial" w:hAnsiTheme="majorHAnsi" w:cs="Arial"/>
          <w:color w:val="000000"/>
          <w:sz w:val="24"/>
          <w:szCs w:val="24"/>
          <w:lang w:eastAsia="ja-JP"/>
        </w:rPr>
        <w:t xml:space="preserve">Notwithstanding anything else in this Agreement, Registry Operator must offer a searchable </w:t>
      </w:r>
      <w:proofErr w:type="spellStart"/>
      <w:r w:rsidRPr="00B8774B">
        <w:rPr>
          <w:rFonts w:asciiTheme="majorHAnsi" w:eastAsia="Arial" w:hAnsiTheme="majorHAnsi" w:cs="Arial"/>
          <w:color w:val="000000"/>
          <w:sz w:val="24"/>
          <w:szCs w:val="24"/>
          <w:lang w:eastAsia="ja-JP"/>
        </w:rPr>
        <w:t>Whois</w:t>
      </w:r>
      <w:proofErr w:type="spellEnd"/>
      <w:r w:rsidRPr="00B8774B">
        <w:rPr>
          <w:rFonts w:asciiTheme="majorHAnsi" w:eastAsia="Arial" w:hAnsiTheme="majorHAnsi" w:cs="Arial"/>
          <w:color w:val="000000"/>
          <w:sz w:val="24"/>
          <w:szCs w:val="24"/>
          <w:lang w:eastAsia="ja-JP"/>
        </w:rPr>
        <w:t xml:space="preserve"> service compliant with the requirements described in Section 1.10 of Specification 4 of this Agreement. Registry Operator shall use rate-limiting to prevent abuse of the searchable </w:t>
      </w:r>
      <w:proofErr w:type="spellStart"/>
      <w:r w:rsidRPr="00B8774B">
        <w:rPr>
          <w:rFonts w:asciiTheme="majorHAnsi" w:eastAsia="Arial" w:hAnsiTheme="majorHAnsi" w:cs="Arial"/>
          <w:color w:val="000000"/>
          <w:sz w:val="24"/>
          <w:szCs w:val="24"/>
          <w:lang w:eastAsia="ja-JP"/>
        </w:rPr>
        <w:t>Whois</w:t>
      </w:r>
      <w:proofErr w:type="spellEnd"/>
      <w:r w:rsidRPr="00B8774B">
        <w:rPr>
          <w:rFonts w:asciiTheme="majorHAnsi" w:eastAsia="Arial" w:hAnsiTheme="majorHAnsi" w:cs="Arial"/>
          <w:color w:val="000000"/>
          <w:sz w:val="24"/>
          <w:szCs w:val="24"/>
          <w:lang w:eastAsia="ja-JP"/>
        </w:rPr>
        <w:t xml:space="preserve"> service.</w:t>
      </w:r>
    </w:p>
    <w:p w14:paraId="18BAB446" w14:textId="77777777" w:rsidR="00844E44" w:rsidRPr="00B8774B" w:rsidRDefault="00844E44" w:rsidP="00BC2AE3">
      <w:pPr>
        <w:numPr>
          <w:ilvl w:val="0"/>
          <w:numId w:val="17"/>
        </w:numPr>
        <w:spacing w:before="480" w:after="200" w:line="276" w:lineRule="auto"/>
        <w:ind w:left="720"/>
        <w:outlineLvl w:val="0"/>
        <w:rPr>
          <w:rFonts w:asciiTheme="majorHAnsi" w:eastAsia="Arial" w:hAnsiTheme="majorHAnsi" w:cs="Arial"/>
          <w:b/>
          <w:color w:val="000000"/>
          <w:sz w:val="24"/>
          <w:szCs w:val="24"/>
          <w:lang w:eastAsia="ja-JP"/>
        </w:rPr>
      </w:pPr>
      <w:r w:rsidRPr="00B8774B">
        <w:rPr>
          <w:rFonts w:asciiTheme="majorHAnsi" w:eastAsia="Arial" w:hAnsiTheme="majorHAnsi" w:cs="Arial"/>
          <w:b/>
          <w:color w:val="000000"/>
          <w:sz w:val="24"/>
          <w:szCs w:val="24"/>
          <w:lang w:eastAsia="ja-JP"/>
        </w:rPr>
        <w:t>Registry Lock</w:t>
      </w:r>
    </w:p>
    <w:p w14:paraId="4DA2B041" w14:textId="77777777" w:rsidR="00844E44" w:rsidRPr="00B8774B" w:rsidRDefault="00844E44" w:rsidP="00844E44">
      <w:pPr>
        <w:spacing w:after="200"/>
        <w:ind w:left="720"/>
        <w:rPr>
          <w:rFonts w:asciiTheme="majorHAnsi" w:eastAsia="Arial" w:hAnsiTheme="majorHAnsi" w:cs="Arial"/>
          <w:color w:val="000000"/>
          <w:sz w:val="24"/>
          <w:szCs w:val="24"/>
          <w:lang w:eastAsia="ja-JP"/>
        </w:rPr>
      </w:pPr>
      <w:r w:rsidRPr="00B8774B">
        <w:rPr>
          <w:rFonts w:asciiTheme="majorHAnsi" w:eastAsia="Arial" w:hAnsiTheme="majorHAnsi" w:cs="Arial"/>
          <w:color w:val="000000"/>
          <w:sz w:val="24"/>
          <w:szCs w:val="24"/>
          <w:lang w:eastAsia="ja-JP"/>
        </w:rPr>
        <w:t xml:space="preserve">Registry Operator may offer the Registry Lock service, which is a registry service that allows the sponsoring Registrar, request the activation or deactivation of any of the following EPP statuses: </w:t>
      </w:r>
      <w:proofErr w:type="spellStart"/>
      <w:r w:rsidRPr="00B8774B">
        <w:rPr>
          <w:rFonts w:asciiTheme="majorHAnsi" w:eastAsia="Times New Roman" w:hAnsiTheme="majorHAnsi"/>
          <w:sz w:val="24"/>
          <w:szCs w:val="24"/>
        </w:rPr>
        <w:t>serverUpdateProhibited</w:t>
      </w:r>
      <w:proofErr w:type="spellEnd"/>
      <w:r w:rsidRPr="00B8774B">
        <w:rPr>
          <w:rFonts w:asciiTheme="majorHAnsi" w:eastAsia="Times New Roman" w:hAnsiTheme="majorHAnsi"/>
          <w:sz w:val="24"/>
          <w:szCs w:val="24"/>
        </w:rPr>
        <w:t xml:space="preserve">, </w:t>
      </w:r>
      <w:proofErr w:type="spellStart"/>
      <w:r w:rsidRPr="00B8774B">
        <w:rPr>
          <w:rFonts w:asciiTheme="majorHAnsi" w:eastAsia="Times New Roman" w:hAnsiTheme="majorHAnsi"/>
          <w:sz w:val="24"/>
          <w:szCs w:val="24"/>
        </w:rPr>
        <w:t>serverDeleteProhibited</w:t>
      </w:r>
      <w:proofErr w:type="spellEnd"/>
      <w:r w:rsidRPr="00B8774B">
        <w:rPr>
          <w:rFonts w:asciiTheme="majorHAnsi" w:eastAsia="Times New Roman" w:hAnsiTheme="majorHAnsi"/>
          <w:sz w:val="24"/>
          <w:szCs w:val="24"/>
        </w:rPr>
        <w:t xml:space="preserve"> </w:t>
      </w:r>
      <w:proofErr w:type="spellStart"/>
      <w:r w:rsidRPr="00B8774B">
        <w:rPr>
          <w:rFonts w:asciiTheme="majorHAnsi" w:eastAsia="Times New Roman" w:hAnsiTheme="majorHAnsi"/>
          <w:sz w:val="24"/>
          <w:szCs w:val="24"/>
        </w:rPr>
        <w:t>and⁄or</w:t>
      </w:r>
      <w:proofErr w:type="spellEnd"/>
      <w:r w:rsidRPr="00B8774B">
        <w:rPr>
          <w:rFonts w:asciiTheme="majorHAnsi" w:eastAsia="Times New Roman" w:hAnsiTheme="majorHAnsi"/>
          <w:sz w:val="24"/>
          <w:szCs w:val="24"/>
        </w:rPr>
        <w:t xml:space="preserve"> </w:t>
      </w:r>
      <w:proofErr w:type="spellStart"/>
      <w:r w:rsidRPr="00B8774B">
        <w:rPr>
          <w:rFonts w:asciiTheme="majorHAnsi" w:eastAsia="Times New Roman" w:hAnsiTheme="majorHAnsi"/>
          <w:sz w:val="24"/>
          <w:szCs w:val="24"/>
        </w:rPr>
        <w:t>serverTransferProhibited</w:t>
      </w:r>
      <w:proofErr w:type="spellEnd"/>
      <w:r w:rsidRPr="00B8774B">
        <w:rPr>
          <w:rFonts w:asciiTheme="majorHAnsi" w:eastAsia="Arial" w:hAnsiTheme="majorHAnsi" w:cs="Arial"/>
          <w:color w:val="000000"/>
          <w:sz w:val="24"/>
          <w:szCs w:val="24"/>
          <w:lang w:eastAsia="ja-JP"/>
        </w:rPr>
        <w:t>.</w:t>
      </w:r>
    </w:p>
    <w:p w14:paraId="75508ABF" w14:textId="77777777" w:rsidR="00844E44" w:rsidRPr="00844E44" w:rsidRDefault="00844E44" w:rsidP="00844E44">
      <w:pPr>
        <w:spacing w:after="200"/>
        <w:ind w:left="720"/>
        <w:rPr>
          <w:rFonts w:asciiTheme="majorHAnsi" w:eastAsia="Arial" w:hAnsiTheme="majorHAnsi" w:cs="Arial"/>
          <w:color w:val="000000"/>
          <w:szCs w:val="22"/>
          <w:lang w:eastAsia="ja-JP"/>
        </w:rPr>
      </w:pPr>
    </w:p>
    <w:p w14:paraId="43AEB238" w14:textId="77777777" w:rsidR="00844E44" w:rsidRPr="00844E44" w:rsidRDefault="00844E44" w:rsidP="00844E44">
      <w:pPr>
        <w:spacing w:after="240"/>
        <w:rPr>
          <w:rFonts w:asciiTheme="majorHAnsi" w:hAnsiTheme="majorHAnsi"/>
          <w:b/>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BC2AE3">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0E68C610"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648311C7"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134DE174"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DCED0AB"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280C6E"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571CFC6"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7A3CA37C"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0358D3F9"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1C897C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772859B"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4F7C5185"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F502D5A"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1E8C2A3"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7FEB9E"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Abuse Mitigation</w:t>
      </w:r>
    </w:p>
    <w:p w14:paraId="0B7EBE6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185A48A3"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AA14DEF"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937B6EB"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971413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8DEDD54" w14:textId="77777777" w:rsidR="0082394D" w:rsidRPr="00BA4330" w:rsidRDefault="0082394D" w:rsidP="0082394D">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58DDA1E7" w14:textId="77777777" w:rsidR="0082394D" w:rsidRPr="00BA4330" w:rsidRDefault="0082394D" w:rsidP="0082394D">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998F236" w14:textId="77777777" w:rsidR="0082394D" w:rsidRPr="00BA4330" w:rsidRDefault="0082394D" w:rsidP="0082394D">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0B90CC8D" w14:textId="77777777" w:rsidR="0082394D" w:rsidRPr="001A0955" w:rsidRDefault="0082394D" w:rsidP="0082394D">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D03E2E9"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2924EC7F"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0891948A"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53FC21C9" w14:textId="77777777" w:rsidR="0082394D" w:rsidRPr="00BA4330" w:rsidRDefault="0082394D" w:rsidP="0082394D">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0AA909F1"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11EF27F0" w14:textId="77777777" w:rsidR="0082394D" w:rsidRPr="00BA4330" w:rsidRDefault="0082394D" w:rsidP="0082394D">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r>
        <w:rPr>
          <w:rFonts w:asciiTheme="majorHAnsi" w:hAnsiTheme="majorHAnsi"/>
          <w:i/>
          <w:sz w:val="24"/>
          <w:szCs w:val="24"/>
        </w:rPr>
        <w:t>url</w:t>
      </w:r>
      <w:proofErr w:type="spell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BC2AE3">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BC2AE3">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rsidP="00BC2AE3">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rsidP="00BC2AE3">
      <w:pPr>
        <w:pStyle w:val="ListParagraph"/>
        <w:numPr>
          <w:ilvl w:val="1"/>
          <w:numId w:val="16"/>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rsidP="00BC2AE3">
      <w:pPr>
        <w:pStyle w:val="ListParagraph"/>
        <w:numPr>
          <w:ilvl w:val="1"/>
          <w:numId w:val="16"/>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rsidP="00BC2AE3">
      <w:pPr>
        <w:pStyle w:val="ListParagraph"/>
        <w:numPr>
          <w:ilvl w:val="1"/>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6FB00CD9" w14:textId="77777777" w:rsidR="003D78A1" w:rsidRDefault="005332B6" w:rsidP="00BC2AE3">
      <w:pPr>
        <w:pStyle w:val="ListParagraph"/>
        <w:numPr>
          <w:ilvl w:val="1"/>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793A8CF" w14:textId="77777777" w:rsidR="003D78A1" w:rsidRPr="003D78A1" w:rsidRDefault="003D78A1" w:rsidP="003D78A1">
      <w:pPr>
        <w:rPr>
          <w:rFonts w:ascii="Times" w:eastAsia="DFKai-SB" w:hAnsi="Times" w:cs="Times"/>
          <w:sz w:val="30"/>
          <w:szCs w:val="30"/>
        </w:rPr>
      </w:pPr>
    </w:p>
    <w:p w14:paraId="037CD7B4" w14:textId="77777777" w:rsidR="003D78A1" w:rsidRPr="004F553F" w:rsidRDefault="003D78A1" w:rsidP="00BC2AE3">
      <w:pPr>
        <w:pStyle w:val="ListParagraph"/>
        <w:numPr>
          <w:ilvl w:val="0"/>
          <w:numId w:val="16"/>
        </w:numPr>
        <w:rPr>
          <w:rFonts w:asciiTheme="majorHAnsi" w:eastAsia="MS Gothic" w:hAnsiTheme="majorHAnsi" w:cs="Cambria"/>
          <w:color w:val="000000"/>
          <w:sz w:val="24"/>
          <w:szCs w:val="24"/>
        </w:rPr>
      </w:pPr>
      <w:r w:rsidRPr="003D78A1">
        <w:rPr>
          <w:rFonts w:asciiTheme="majorHAnsi" w:eastAsia="DFKai-SB" w:hAnsiTheme="majorHAnsi" w:cs="Times"/>
          <w:sz w:val="24"/>
          <w:szCs w:val="24"/>
        </w:rPr>
        <w:t>The Registry Operator agrees to perform the following specific public interest commitments, which commitments shall be enforceable by ICANN and through the PICDRP. Registry Operator shall comply with the PICDRP. Registry Operator agrees to implement and adhere to any reasonable remedies ICANN imposes (which may include any reasonable remedy, including for the avoidance of doubt, the termination of the Registry Agreement pursuant to Section 4.3(e) of the Registry Agreement) following a determination by any PICDRP panel and to be bound by any such determination.</w:t>
      </w:r>
    </w:p>
    <w:p w14:paraId="082B2FE3" w14:textId="77777777" w:rsidR="004F553F" w:rsidRDefault="004F553F" w:rsidP="004F553F">
      <w:pPr>
        <w:rPr>
          <w:rFonts w:asciiTheme="majorHAnsi" w:eastAsia="MS Gothic" w:hAnsiTheme="majorHAnsi" w:cs="Cambria"/>
          <w:color w:val="000000"/>
          <w:sz w:val="24"/>
          <w:szCs w:val="24"/>
        </w:rPr>
      </w:pPr>
    </w:p>
    <w:p w14:paraId="2CF0524E" w14:textId="77777777" w:rsidR="0016627F" w:rsidRDefault="004F553F" w:rsidP="0016627F">
      <w:pPr>
        <w:spacing w:after="240"/>
        <w:ind w:left="720"/>
        <w:rPr>
          <w:rFonts w:ascii="Cambria" w:eastAsia="MS Gothic" w:hAnsi="Cambria" w:cs="Cambria"/>
          <w:sz w:val="24"/>
          <w:szCs w:val="24"/>
        </w:rPr>
      </w:pPr>
      <w:r>
        <w:rPr>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198574A3" w14:textId="61C7FB8D" w:rsidR="003D78A1" w:rsidRPr="0016627F" w:rsidRDefault="0016627F" w:rsidP="0016627F">
      <w:pPr>
        <w:spacing w:after="240"/>
        <w:ind w:left="720"/>
        <w:rPr>
          <w:rFonts w:ascii="Cambria" w:eastAsia="MS Gothic" w:hAnsi="Cambria" w:cs="Cambria"/>
          <w:sz w:val="24"/>
          <w:szCs w:val="24"/>
        </w:rPr>
      </w:pPr>
      <w:r w:rsidRPr="0016627F">
        <w:rPr>
          <w:rStyle w:val="DeltaViewInsertion"/>
          <w:rFonts w:ascii="Cambria" w:eastAsia="Times New Roman" w:hAnsi="Cambria" w:cs="Cambria"/>
          <w:color w:val="auto"/>
          <w:w w:val="0"/>
          <w:sz w:val="24"/>
          <w:szCs w:val="24"/>
          <w:u w:val="none"/>
        </w:rPr>
        <w:t>Registry Operator commits to implementing and performing the following protections for the TLD:</w:t>
      </w:r>
      <w:r w:rsidRPr="0016627F">
        <w:rPr>
          <w:rStyle w:val="DeltaViewInsertion"/>
          <w:rFonts w:ascii="Cambria" w:eastAsia="Times New Roman" w:hAnsi="Cambria" w:cs="Cambria"/>
          <w:color w:val="auto"/>
          <w:w w:val="104"/>
          <w:sz w:val="24"/>
          <w:szCs w:val="24"/>
          <w:u w:val="none"/>
        </w:rPr>
        <w:t xml:space="preserve"> </w:t>
      </w:r>
    </w:p>
    <w:p w14:paraId="7E751742" w14:textId="77777777" w:rsidR="003D78A1" w:rsidRDefault="003D78A1" w:rsidP="00BC2AE3">
      <w:pPr>
        <w:pStyle w:val="ListParagraph"/>
        <w:numPr>
          <w:ilvl w:val="0"/>
          <w:numId w:val="18"/>
        </w:numPr>
        <w:rPr>
          <w:rFonts w:asciiTheme="majorHAnsi" w:eastAsia="DFKai-SB" w:hAnsiTheme="majorHAnsi" w:cs="Times"/>
          <w:sz w:val="24"/>
          <w:szCs w:val="24"/>
        </w:rPr>
      </w:pPr>
      <w:r w:rsidRPr="003D78A1">
        <w:rPr>
          <w:rFonts w:asciiTheme="majorHAnsi" w:eastAsia="DFKai-SB" w:hAnsiTheme="majorHAnsi" w:cs="Times"/>
          <w:sz w:val="24"/>
          <w:szCs w:val="24"/>
        </w:rPr>
        <w:t xml:space="preserve">To publish and make readily available to the public policies and procedures that will cover domain name acceptable use and naming standards, and define malicious or abusive behavior. This will include providing a community flagging process allowing members of the public, law enforcement and other government entities to call attention to possible cases of non-compliance with these policies or to report abuse. Registrars will be required to obtain registrant agreement to these policies as a condition of registration during the sign up process; </w:t>
      </w:r>
    </w:p>
    <w:p w14:paraId="3D297941" w14:textId="77777777" w:rsidR="003D78A1" w:rsidRDefault="003D78A1" w:rsidP="003D78A1">
      <w:pPr>
        <w:pStyle w:val="ListParagraph"/>
        <w:ind w:left="1440"/>
        <w:rPr>
          <w:rFonts w:asciiTheme="majorHAnsi" w:eastAsia="DFKai-SB" w:hAnsiTheme="majorHAnsi" w:cs="Times"/>
          <w:sz w:val="24"/>
          <w:szCs w:val="24"/>
        </w:rPr>
      </w:pPr>
    </w:p>
    <w:p w14:paraId="507CA50B" w14:textId="77777777" w:rsidR="003D78A1" w:rsidRDefault="003D78A1" w:rsidP="00BC2AE3">
      <w:pPr>
        <w:pStyle w:val="ListParagraph"/>
        <w:numPr>
          <w:ilvl w:val="0"/>
          <w:numId w:val="18"/>
        </w:numPr>
        <w:rPr>
          <w:rFonts w:asciiTheme="majorHAnsi" w:eastAsia="DFKai-SB" w:hAnsiTheme="majorHAnsi" w:cs="Times"/>
          <w:sz w:val="24"/>
          <w:szCs w:val="24"/>
        </w:rPr>
      </w:pPr>
      <w:r w:rsidRPr="003D78A1">
        <w:rPr>
          <w:rFonts w:asciiTheme="majorHAnsi" w:eastAsia="DFKai-SB" w:hAnsiTheme="majorHAnsi" w:cs="Times"/>
          <w:sz w:val="24"/>
          <w:szCs w:val="24"/>
        </w:rPr>
        <w:t xml:space="preserve">To provide a single point of contact responsible for addressing reports of abuse, non-compliance and other matters requiring expedited attention; and for providing a timely response to abuse complaints concerning names registered in the TLD through accredited registrars of record, including resellers; </w:t>
      </w:r>
    </w:p>
    <w:p w14:paraId="6AD99DD0" w14:textId="77777777" w:rsidR="003D78A1" w:rsidRPr="003D78A1" w:rsidRDefault="003D78A1" w:rsidP="003D78A1">
      <w:pPr>
        <w:rPr>
          <w:rFonts w:asciiTheme="majorHAnsi" w:eastAsia="DFKai-SB" w:hAnsiTheme="majorHAnsi" w:cs="Times"/>
          <w:sz w:val="24"/>
          <w:szCs w:val="24"/>
        </w:rPr>
      </w:pPr>
    </w:p>
    <w:p w14:paraId="6F680F92" w14:textId="77777777" w:rsidR="003D78A1" w:rsidRDefault="003D78A1" w:rsidP="00BC2AE3">
      <w:pPr>
        <w:pStyle w:val="ListParagraph"/>
        <w:numPr>
          <w:ilvl w:val="0"/>
          <w:numId w:val="18"/>
        </w:numPr>
        <w:rPr>
          <w:rFonts w:asciiTheme="majorHAnsi" w:eastAsia="DFKai-SB" w:hAnsiTheme="majorHAnsi" w:cs="Times"/>
          <w:sz w:val="24"/>
          <w:szCs w:val="24"/>
        </w:rPr>
      </w:pPr>
      <w:r w:rsidRPr="003D78A1">
        <w:rPr>
          <w:rFonts w:asciiTheme="majorHAnsi" w:eastAsia="DFKai-SB" w:hAnsiTheme="majorHAnsi" w:cs="Times"/>
          <w:sz w:val="24"/>
          <w:szCs w:val="24"/>
        </w:rPr>
        <w:t xml:space="preserve">To review and seek to resolve promptly all reported cases of abuse, including procedures that will allow the Registry, in cases where domain registrations are determined to have been used abusively, to: </w:t>
      </w:r>
    </w:p>
    <w:p w14:paraId="1E14811F" w14:textId="77777777" w:rsidR="003D78A1" w:rsidRPr="003D78A1" w:rsidRDefault="003D78A1" w:rsidP="003D78A1">
      <w:pPr>
        <w:rPr>
          <w:rFonts w:asciiTheme="majorHAnsi" w:eastAsia="DFKai-SB" w:hAnsiTheme="majorHAnsi" w:cs="Times"/>
          <w:sz w:val="24"/>
          <w:szCs w:val="24"/>
        </w:rPr>
      </w:pPr>
    </w:p>
    <w:p w14:paraId="242A24BF" w14:textId="77777777" w:rsidR="00BC2AE3" w:rsidRDefault="003D78A1" w:rsidP="001636C3">
      <w:pPr>
        <w:pStyle w:val="ARTICLEAL3"/>
        <w:numPr>
          <w:ilvl w:val="2"/>
          <w:numId w:val="28"/>
        </w:numPr>
      </w:pPr>
      <w:r w:rsidRPr="00BC2AE3">
        <w:t xml:space="preserve">Suspend or delete abusive domain names; </w:t>
      </w:r>
    </w:p>
    <w:p w14:paraId="3D10D575" w14:textId="77777777" w:rsidR="00BC2AE3" w:rsidRPr="00BC2AE3" w:rsidRDefault="003D78A1" w:rsidP="00BC2AE3">
      <w:pPr>
        <w:pStyle w:val="ARTICLEAL3"/>
      </w:pPr>
      <w:r w:rsidRPr="00BC2AE3">
        <w:rPr>
          <w:rFonts w:asciiTheme="majorHAnsi" w:eastAsia="DFKai-SB" w:hAnsiTheme="majorHAnsi" w:cs="Times"/>
          <w:szCs w:val="24"/>
        </w:rPr>
        <w:t>Block registrants of abusive domain na</w:t>
      </w:r>
      <w:r w:rsidR="00BC2AE3" w:rsidRPr="00BC2AE3">
        <w:rPr>
          <w:rFonts w:asciiTheme="majorHAnsi" w:eastAsia="DFKai-SB" w:hAnsiTheme="majorHAnsi" w:cs="Times"/>
          <w:szCs w:val="24"/>
        </w:rPr>
        <w:t xml:space="preserve">mes from further  </w:t>
      </w:r>
      <w:r w:rsidR="00BC2AE3">
        <w:rPr>
          <w:rFonts w:asciiTheme="majorHAnsi" w:eastAsia="DFKai-SB" w:hAnsiTheme="majorHAnsi" w:cs="Times"/>
          <w:szCs w:val="24"/>
        </w:rPr>
        <w:tab/>
      </w:r>
      <w:r w:rsidR="00BC2AE3" w:rsidRPr="00BC2AE3">
        <w:rPr>
          <w:rFonts w:asciiTheme="majorHAnsi" w:eastAsia="DFKai-SB" w:hAnsiTheme="majorHAnsi" w:cs="Times"/>
          <w:szCs w:val="24"/>
        </w:rPr>
        <w:t>registrations;</w:t>
      </w:r>
      <w:r w:rsidR="00BC2AE3">
        <w:rPr>
          <w:rFonts w:asciiTheme="majorHAnsi" w:eastAsia="DFKai-SB" w:hAnsiTheme="majorHAnsi" w:cs="Times"/>
          <w:szCs w:val="24"/>
        </w:rPr>
        <w:t xml:space="preserve"> </w:t>
      </w:r>
      <w:r w:rsidRPr="00BC2AE3">
        <w:rPr>
          <w:rFonts w:asciiTheme="majorHAnsi" w:eastAsia="DFKai-SB" w:hAnsiTheme="majorHAnsi" w:cs="Times"/>
          <w:szCs w:val="24"/>
        </w:rPr>
        <w:t xml:space="preserve">and </w:t>
      </w:r>
    </w:p>
    <w:p w14:paraId="5F3393A6" w14:textId="77777777" w:rsidR="00BC2AE3" w:rsidRPr="00BC2AE3" w:rsidRDefault="003D78A1" w:rsidP="00BC2AE3">
      <w:pPr>
        <w:pStyle w:val="ARTICLEAL3"/>
      </w:pPr>
      <w:r w:rsidRPr="00BC2AE3">
        <w:rPr>
          <w:rFonts w:asciiTheme="majorHAnsi" w:eastAsia="DFKai-SB" w:hAnsiTheme="majorHAnsi" w:cs="Times"/>
          <w:szCs w:val="24"/>
        </w:rPr>
        <w:t>Suspend or delete all name</w:t>
      </w:r>
      <w:r w:rsidR="00BC2AE3">
        <w:rPr>
          <w:rFonts w:asciiTheme="majorHAnsi" w:eastAsia="DFKai-SB" w:hAnsiTheme="majorHAnsi" w:cs="Times"/>
          <w:szCs w:val="24"/>
        </w:rPr>
        <w:t>s associated with a registrant.</w:t>
      </w:r>
    </w:p>
    <w:p w14:paraId="4BAE9C57" w14:textId="77777777" w:rsidR="00BC2AE3" w:rsidRDefault="003D78A1" w:rsidP="00BC2AE3">
      <w:pPr>
        <w:pStyle w:val="ARTICLEAL2"/>
        <w:numPr>
          <w:ilvl w:val="0"/>
          <w:numId w:val="18"/>
        </w:numPr>
      </w:pPr>
      <w:r w:rsidRPr="00BC2AE3">
        <w:t xml:space="preserve">To work constructively with law enforcement to address reported cases of abuse; </w:t>
      </w:r>
    </w:p>
    <w:p w14:paraId="4753FA14" w14:textId="77777777" w:rsidR="00BC2AE3" w:rsidRPr="00BC2AE3" w:rsidRDefault="003D78A1" w:rsidP="00BC2AE3">
      <w:pPr>
        <w:pStyle w:val="ARTICLEAL2"/>
        <w:numPr>
          <w:ilvl w:val="0"/>
          <w:numId w:val="18"/>
        </w:numPr>
      </w:pPr>
      <w:r w:rsidRPr="00BC2AE3">
        <w:rPr>
          <w:rFonts w:asciiTheme="majorHAnsi" w:eastAsia="DFKai-SB" w:hAnsiTheme="majorHAnsi" w:cs="Times"/>
          <w:szCs w:val="24"/>
        </w:rPr>
        <w:t xml:space="preserve">To prevent registration of exact matches of geographic names at the second level as defined by the Applicant Guidebook of January 12, 2012, except by </w:t>
      </w:r>
      <w:proofErr w:type="spellStart"/>
      <w:r w:rsidRPr="00BC2AE3">
        <w:rPr>
          <w:rFonts w:asciiTheme="majorHAnsi" w:eastAsia="DFKai-SB" w:hAnsiTheme="majorHAnsi" w:cs="Times"/>
          <w:szCs w:val="24"/>
        </w:rPr>
        <w:t>authorised</w:t>
      </w:r>
      <w:proofErr w:type="spellEnd"/>
      <w:r w:rsidRPr="00BC2AE3">
        <w:rPr>
          <w:rFonts w:asciiTheme="majorHAnsi" w:eastAsia="DFKai-SB" w:hAnsiTheme="majorHAnsi" w:cs="Times"/>
          <w:szCs w:val="24"/>
        </w:rPr>
        <w:t xml:space="preserve"> representatives of the governmental authority of the territory in question; </w:t>
      </w:r>
    </w:p>
    <w:p w14:paraId="6BA7D2DA" w14:textId="77777777" w:rsidR="00BC2AE3" w:rsidRPr="00BC2AE3" w:rsidRDefault="003D78A1" w:rsidP="00BC2AE3">
      <w:pPr>
        <w:pStyle w:val="ARTICLEAL2"/>
        <w:numPr>
          <w:ilvl w:val="0"/>
          <w:numId w:val="18"/>
        </w:numPr>
      </w:pPr>
      <w:r w:rsidRPr="00BC2AE3">
        <w:rPr>
          <w:rFonts w:asciiTheme="majorHAnsi" w:eastAsia="DFKai-SB" w:hAnsiTheme="majorHAnsi" w:cs="Times"/>
          <w:szCs w:val="24"/>
        </w:rPr>
        <w:t xml:space="preserve">To prevent registration of exact matches of IGO names at the second level, according to the list to be provided by the GAC as per the GAC Toronto Communiqué of 17 October 2012, except by </w:t>
      </w:r>
      <w:proofErr w:type="spellStart"/>
      <w:r w:rsidRPr="00BC2AE3">
        <w:rPr>
          <w:rFonts w:asciiTheme="majorHAnsi" w:eastAsia="DFKai-SB" w:hAnsiTheme="majorHAnsi" w:cs="Times"/>
          <w:szCs w:val="24"/>
        </w:rPr>
        <w:t>authorised</w:t>
      </w:r>
      <w:proofErr w:type="spellEnd"/>
      <w:r w:rsidRPr="00BC2AE3">
        <w:rPr>
          <w:rFonts w:asciiTheme="majorHAnsi" w:eastAsia="DFKai-SB" w:hAnsiTheme="majorHAnsi" w:cs="Times"/>
          <w:szCs w:val="24"/>
        </w:rPr>
        <w:t xml:space="preserve"> representatives of the IGO in question; </w:t>
      </w:r>
    </w:p>
    <w:p w14:paraId="70AB31D9" w14:textId="77777777" w:rsidR="00BC2AE3" w:rsidRPr="00BC2AE3" w:rsidRDefault="003D78A1" w:rsidP="00BC2AE3">
      <w:pPr>
        <w:pStyle w:val="ARTICLEAL2"/>
        <w:numPr>
          <w:ilvl w:val="0"/>
          <w:numId w:val="18"/>
        </w:numPr>
      </w:pPr>
      <w:r w:rsidRPr="00BC2AE3">
        <w:rPr>
          <w:rFonts w:asciiTheme="majorHAnsi" w:eastAsia="DFKai-SB" w:hAnsiTheme="majorHAnsi" w:cs="Times"/>
          <w:szCs w:val="24"/>
        </w:rPr>
        <w:t xml:space="preserve">To offer sunrise registration services for a minimum of 60 days using the Trademark Clearinghouse process; and </w:t>
      </w:r>
    </w:p>
    <w:p w14:paraId="40A7CB89" w14:textId="72A44D50" w:rsidR="003D78A1" w:rsidRPr="00BC2AE3" w:rsidRDefault="003D78A1" w:rsidP="00BC2AE3">
      <w:pPr>
        <w:pStyle w:val="ARTICLEAL2"/>
        <w:numPr>
          <w:ilvl w:val="0"/>
          <w:numId w:val="18"/>
        </w:numPr>
      </w:pPr>
      <w:r w:rsidRPr="00BC2AE3">
        <w:rPr>
          <w:rFonts w:asciiTheme="majorHAnsi" w:eastAsia="DFKai-SB" w:hAnsiTheme="majorHAnsi" w:cs="Times"/>
          <w:szCs w:val="24"/>
        </w:rPr>
        <w:t xml:space="preserve">To implement security policies and procedures commensurate with the security profile of the TLD. </w:t>
      </w:r>
    </w:p>
    <w:p w14:paraId="18AC2E14" w14:textId="77777777" w:rsidR="003D78A1" w:rsidRPr="003D78A1" w:rsidRDefault="003D78A1" w:rsidP="003D78A1">
      <w:pPr>
        <w:rPr>
          <w:rFonts w:asciiTheme="majorHAnsi" w:eastAsia="MS Gothic" w:hAnsiTheme="majorHAnsi" w:cs="Cambria"/>
          <w:color w:val="000000"/>
          <w:sz w:val="24"/>
          <w:szCs w:val="24"/>
        </w:rPr>
      </w:pPr>
    </w:p>
    <w:sectPr w:rsidR="003D78A1" w:rsidRPr="003D78A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3D78A1" w:rsidRDefault="003D78A1">
      <w:pPr>
        <w:pStyle w:val="Footer"/>
      </w:pPr>
    </w:p>
  </w:endnote>
  <w:endnote w:type="continuationSeparator" w:id="0">
    <w:p w14:paraId="67A6DD6C" w14:textId="77777777" w:rsidR="003D78A1" w:rsidRDefault="003D78A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DD2B178" w:rsidR="003D78A1" w:rsidRDefault="003D78A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3D78A1" w:rsidRDefault="003D78A1">
    <w:pPr>
      <w:pStyle w:val="Footer"/>
      <w:spacing w:line="200" w:lineRule="exact"/>
      <w:jc w:val="center"/>
    </w:pPr>
    <w:r>
      <w:fldChar w:fldCharType="begin"/>
    </w:r>
    <w:r>
      <w:instrText xml:space="preserve"> PAGE   \* MERGEFORMAT </w:instrText>
    </w:r>
    <w:r>
      <w:fldChar w:fldCharType="separate"/>
    </w:r>
    <w:r w:rsidR="006631D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3D78A1" w:rsidRDefault="003D78A1">
    <w:pPr>
      <w:pStyle w:val="Footer"/>
      <w:tabs>
        <w:tab w:val="clear" w:pos="4680"/>
      </w:tabs>
      <w:spacing w:line="200" w:lineRule="exact"/>
      <w:jc w:val="center"/>
    </w:pPr>
    <w:r>
      <w:fldChar w:fldCharType="begin"/>
    </w:r>
    <w:r>
      <w:instrText xml:space="preserve"> PAGE   \* MERGEFORMAT </w:instrText>
    </w:r>
    <w:r>
      <w:fldChar w:fldCharType="separate"/>
    </w:r>
    <w:r w:rsidR="006631D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3D78A1" w:rsidRDefault="003D78A1">
    <w:pPr>
      <w:pStyle w:val="Footer"/>
      <w:spacing w:line="200" w:lineRule="exact"/>
      <w:jc w:val="center"/>
    </w:pPr>
    <w:r>
      <w:fldChar w:fldCharType="begin"/>
    </w:r>
    <w:r>
      <w:instrText xml:space="preserve"> PAGE   \* MERGEFORMAT </w:instrText>
    </w:r>
    <w:r>
      <w:fldChar w:fldCharType="separate"/>
    </w:r>
    <w:r w:rsidR="006631D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3D78A1" w:rsidRDefault="003D78A1">
    <w:pPr>
      <w:pStyle w:val="Footer"/>
      <w:tabs>
        <w:tab w:val="clear" w:pos="4680"/>
      </w:tabs>
      <w:spacing w:line="200" w:lineRule="exact"/>
      <w:jc w:val="center"/>
    </w:pPr>
    <w:r>
      <w:fldChar w:fldCharType="begin"/>
    </w:r>
    <w:r>
      <w:instrText xml:space="preserve"> PAGE   \* MERGEFORMAT </w:instrText>
    </w:r>
    <w:r>
      <w:fldChar w:fldCharType="separate"/>
    </w:r>
    <w:r w:rsidR="006631DB">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3D78A1" w:rsidRDefault="003D78A1">
    <w:pPr>
      <w:pStyle w:val="Footer"/>
      <w:tabs>
        <w:tab w:val="clear" w:pos="4680"/>
      </w:tabs>
      <w:spacing w:line="200" w:lineRule="exact"/>
      <w:jc w:val="center"/>
    </w:pPr>
    <w:r>
      <w:fldChar w:fldCharType="begin"/>
    </w:r>
    <w:r>
      <w:instrText xml:space="preserve"> PAGE   \* MERGEFORMAT </w:instrText>
    </w:r>
    <w:r>
      <w:fldChar w:fldCharType="separate"/>
    </w:r>
    <w:r w:rsidR="006631D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3D78A1" w:rsidRDefault="003D78A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631D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3D78A1" w:rsidRDefault="003D78A1">
    <w:pPr>
      <w:pStyle w:val="Footer"/>
      <w:spacing w:line="200" w:lineRule="exact"/>
      <w:jc w:val="center"/>
    </w:pPr>
    <w:r>
      <w:fldChar w:fldCharType="begin"/>
    </w:r>
    <w:r>
      <w:instrText xml:space="preserve"> PAGE   \* MERGEFORMAT </w:instrText>
    </w:r>
    <w:r>
      <w:fldChar w:fldCharType="separate"/>
    </w:r>
    <w:r w:rsidR="006631D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3D78A1" w:rsidRDefault="003D78A1">
    <w:pPr>
      <w:pStyle w:val="Footer"/>
      <w:tabs>
        <w:tab w:val="clear" w:pos="4680"/>
      </w:tabs>
      <w:spacing w:line="200" w:lineRule="exact"/>
      <w:jc w:val="center"/>
    </w:pPr>
  </w:p>
  <w:p w14:paraId="4A3D38B9" w14:textId="77777777" w:rsidR="003D78A1" w:rsidRDefault="003D78A1">
    <w:pPr>
      <w:pStyle w:val="Footer"/>
      <w:tabs>
        <w:tab w:val="clear" w:pos="4680"/>
      </w:tabs>
      <w:spacing w:line="200" w:lineRule="exact"/>
      <w:jc w:val="center"/>
    </w:pPr>
    <w:r>
      <w:fldChar w:fldCharType="begin"/>
    </w:r>
    <w:r>
      <w:instrText xml:space="preserve"> PAGE   \* MERGEFORMAT </w:instrText>
    </w:r>
    <w:r>
      <w:fldChar w:fldCharType="separate"/>
    </w:r>
    <w:r w:rsidR="006631D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3D78A1" w:rsidRDefault="003D78A1">
    <w:pPr>
      <w:pStyle w:val="Footer"/>
      <w:tabs>
        <w:tab w:val="clear" w:pos="4680"/>
      </w:tabs>
      <w:spacing w:line="200" w:lineRule="exact"/>
      <w:jc w:val="center"/>
    </w:pPr>
    <w:r>
      <w:fldChar w:fldCharType="begin"/>
    </w:r>
    <w:r>
      <w:instrText xml:space="preserve"> PAGE   \* MERGEFORMAT </w:instrText>
    </w:r>
    <w:r>
      <w:fldChar w:fldCharType="separate"/>
    </w:r>
    <w:r w:rsidR="006631D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3D78A1" w:rsidRDefault="003D78A1">
    <w:pPr>
      <w:pStyle w:val="Footer"/>
      <w:spacing w:line="200" w:lineRule="exact"/>
      <w:jc w:val="center"/>
    </w:pPr>
    <w:r>
      <w:fldChar w:fldCharType="begin"/>
    </w:r>
    <w:r>
      <w:instrText xml:space="preserve"> PAGE   \* MERGEFORMAT </w:instrText>
    </w:r>
    <w:r>
      <w:fldChar w:fldCharType="separate"/>
    </w:r>
    <w:r w:rsidR="006631D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3D78A1" w:rsidRDefault="003D78A1">
    <w:pPr>
      <w:pStyle w:val="Footer"/>
      <w:spacing w:line="200" w:lineRule="exact"/>
      <w:jc w:val="center"/>
    </w:pPr>
    <w:r>
      <w:fldChar w:fldCharType="begin"/>
    </w:r>
    <w:r>
      <w:instrText xml:space="preserve"> PAGE   \* MERGEFORMAT </w:instrText>
    </w:r>
    <w:r>
      <w:fldChar w:fldCharType="separate"/>
    </w:r>
    <w:r w:rsidR="006631D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3D78A1" w:rsidRDefault="003D78A1">
    <w:pPr>
      <w:pStyle w:val="Footer"/>
      <w:tabs>
        <w:tab w:val="clear" w:pos="4680"/>
      </w:tabs>
      <w:spacing w:line="200" w:lineRule="exact"/>
      <w:jc w:val="center"/>
    </w:pPr>
    <w:r>
      <w:fldChar w:fldCharType="begin"/>
    </w:r>
    <w:r>
      <w:instrText xml:space="preserve"> PAGE   \* MERGEFORMAT </w:instrText>
    </w:r>
    <w:r>
      <w:fldChar w:fldCharType="separate"/>
    </w:r>
    <w:r w:rsidR="006631D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3D78A1" w:rsidRDefault="003D78A1">
    <w:pPr>
      <w:pStyle w:val="Footer"/>
      <w:tabs>
        <w:tab w:val="clear" w:pos="4680"/>
      </w:tabs>
      <w:spacing w:line="200" w:lineRule="exact"/>
      <w:jc w:val="center"/>
    </w:pPr>
    <w:r>
      <w:fldChar w:fldCharType="begin"/>
    </w:r>
    <w:r>
      <w:instrText xml:space="preserve"> PAGE   \* MERGEFORMAT </w:instrText>
    </w:r>
    <w:r>
      <w:fldChar w:fldCharType="separate"/>
    </w:r>
    <w:r w:rsidR="006631D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3D78A1" w:rsidRDefault="003D78A1">
      <w:r>
        <w:separator/>
      </w:r>
    </w:p>
  </w:footnote>
  <w:footnote w:type="continuationSeparator" w:id="0">
    <w:p w14:paraId="189A43B6" w14:textId="77777777" w:rsidR="003D78A1" w:rsidRDefault="003D78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3D78A1" w:rsidRDefault="003D78A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3D78A1" w:rsidRDefault="003D78A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3D78A1" w:rsidRDefault="003D78A1">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3D78A1" w:rsidRDefault="003D78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3D78A1" w:rsidRDefault="003D78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3D78A1" w:rsidRDefault="003D78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3D78A1" w:rsidRDefault="003D78A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3D78A1" w:rsidRDefault="003D78A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3D78A1" w:rsidRDefault="003D78A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3D78A1" w:rsidRDefault="003D78A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3D78A1" w:rsidRDefault="003D78A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3D78A1" w:rsidRDefault="003D78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5322ED"/>
    <w:multiLevelType w:val="multilevel"/>
    <w:tmpl w:val="AD622DA4"/>
    <w:lvl w:ilvl="0">
      <w:start w:val="1"/>
      <w:numFmt w:val="decimal"/>
      <w:suff w:val="nothing"/>
      <w:lvlText w:val="ARTICLE %1."/>
      <w:lvlJc w:val="left"/>
      <w:pPr>
        <w:ind w:left="0" w:firstLine="0"/>
      </w:pPr>
      <w:rPr>
        <w:rFonts w:ascii="Times New Roman" w:hAnsi="Times New Roman" w:cs="Times New Roman" w:hint="default"/>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hint="default"/>
        <w:b/>
        <w:i w:val="0"/>
        <w:caps w:val="0"/>
        <w:sz w:val="24"/>
        <w:u w:val="none"/>
      </w:rPr>
    </w:lvl>
    <w:lvl w:ilvl="2">
      <w:start w:val="1"/>
      <w:numFmt w:val="lowerRoman"/>
      <w:lvlText w:val="(%3)"/>
      <w:lvlJc w:val="left"/>
      <w:pPr>
        <w:tabs>
          <w:tab w:val="num" w:pos="2160"/>
        </w:tabs>
        <w:ind w:left="0" w:firstLine="1440"/>
      </w:pPr>
      <w:rPr>
        <w:rFonts w:ascii="Times New Roman" w:hAnsi="Times New Roman" w:cs="Times New Roman" w:hint="default"/>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hint="default"/>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hint="default"/>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hint="default"/>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hint="default"/>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hint="default"/>
        <w:b w:val="0"/>
        <w:i w:val="0"/>
        <w:caps w:val="0"/>
        <w:sz w:val="22"/>
        <w:u w:val="none"/>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3D621521"/>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6">
    <w:nsid w:val="40F54369"/>
    <w:multiLevelType w:val="multilevel"/>
    <w:tmpl w:val="AD622DA4"/>
    <w:lvl w:ilvl="0">
      <w:start w:val="1"/>
      <w:numFmt w:val="decimal"/>
      <w:suff w:val="nothing"/>
      <w:lvlText w:val="ARTICLE %1."/>
      <w:lvlJc w:val="left"/>
      <w:pPr>
        <w:ind w:left="0" w:firstLine="0"/>
      </w:pPr>
      <w:rPr>
        <w:rFonts w:ascii="Times New Roman" w:hAnsi="Times New Roman" w:cs="Times New Roman" w:hint="default"/>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hint="default"/>
        <w:b/>
        <w:i w:val="0"/>
        <w:caps w:val="0"/>
        <w:sz w:val="24"/>
        <w:u w:val="none"/>
      </w:rPr>
    </w:lvl>
    <w:lvl w:ilvl="2">
      <w:start w:val="1"/>
      <w:numFmt w:val="lowerRoman"/>
      <w:lvlText w:val="(%3)"/>
      <w:lvlJc w:val="left"/>
      <w:pPr>
        <w:tabs>
          <w:tab w:val="num" w:pos="2160"/>
        </w:tabs>
        <w:ind w:left="0" w:firstLine="1440"/>
      </w:pPr>
      <w:rPr>
        <w:rFonts w:ascii="Times New Roman" w:hAnsi="Times New Roman" w:cs="Times New Roman" w:hint="default"/>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hint="default"/>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hint="default"/>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hint="default"/>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hint="default"/>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hint="default"/>
        <w:b w:val="0"/>
        <w:i w:val="0"/>
        <w:caps w:val="0"/>
        <w:sz w:val="22"/>
        <w:u w:val="none"/>
      </w:rPr>
    </w:lvl>
  </w:abstractNum>
  <w:abstractNum w:abstractNumId="17">
    <w:nsid w:val="4B885C15"/>
    <w:multiLevelType w:val="hybridMultilevel"/>
    <w:tmpl w:val="C57252EC"/>
    <w:name w:val="zzmpSpec1||Spec 1|3|1|1|5|0|41||1|0|1||1|2|32||1|2|32||1|2|32||1|2|32||1|2|32||1|0|0||1|0|0||2"/>
    <w:lvl w:ilvl="0" w:tplc="EA2E6624">
      <w:start w:val="1"/>
      <w:numFmt w:val="lowerRoman"/>
      <w:lvlText w:val="(i)%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650AA7"/>
    <w:multiLevelType w:val="hybridMultilevel"/>
    <w:tmpl w:val="CADA94BE"/>
    <w:name w:val="zzmpARTICLEA||ARTICLE A|2|3|1|5|2|41||1|2|1||1|0|0||1|0|0||1|0|0||1|0|0||1|0|0||1|0|0||1|0|0||2"/>
    <w:lvl w:ilvl="0" w:tplc="A0A2E3CA">
      <w:start w:val="4"/>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AA4022"/>
    <w:multiLevelType w:val="hybridMultilevel"/>
    <w:tmpl w:val="E96C5340"/>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D4E3185"/>
    <w:multiLevelType w:val="multilevel"/>
    <w:tmpl w:val="C57252EC"/>
    <w:lvl w:ilvl="0">
      <w:start w:val="1"/>
      <w:numFmt w:val="lowerRoman"/>
      <w:lvlText w:val="(i)%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3D0EC272"/>
    <w:name w:val="zzmpARTICLEA||ARTICLE A|2|3|1|5|2|41||1|2|1||1|0|0||1|0|0||1|0|0||1|0|0||1|0|0||1|0|0||1|0|0||"/>
    <w:lvl w:ilvl="0">
      <w:start w:val="1"/>
      <w:numFmt w:val="decimal"/>
      <w:pStyle w:val="ARTICLEAL1"/>
      <w:suff w:val="nothing"/>
      <w:lvlText w:val="ARTICLE %1."/>
      <w:lvlJc w:val="left"/>
      <w:pPr>
        <w:ind w:left="0" w:firstLine="0"/>
      </w:pPr>
      <w:rPr>
        <w:rFonts w:ascii="Times New Roman" w:hAnsi="Times New Roman" w:cs="Times New Roman" w:hint="default"/>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hint="default"/>
        <w:b/>
        <w:i w:val="0"/>
        <w:caps w:val="0"/>
        <w:sz w:val="24"/>
        <w:u w:val="none"/>
      </w:rPr>
    </w:lvl>
    <w:lvl w:ilvl="2">
      <w:start w:val="1"/>
      <w:numFmt w:val="lowerLetter"/>
      <w:pStyle w:val="ARTICLEAL3"/>
      <w:lvlText w:val="(%3)"/>
      <w:lvlJc w:val="left"/>
      <w:pPr>
        <w:tabs>
          <w:tab w:val="num" w:pos="2160"/>
        </w:tabs>
        <w:ind w:left="0" w:firstLine="1440"/>
      </w:pPr>
      <w:rPr>
        <w:rFonts w:asciiTheme="majorHAnsi" w:eastAsia="SimSun" w:hAnsiTheme="majorHAnsi"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hint="default"/>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hint="default"/>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hint="default"/>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hint="default"/>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hint="default"/>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hint="default"/>
        <w:b w:val="0"/>
        <w:i w:val="0"/>
        <w:caps w:val="0"/>
        <w:sz w:val="22"/>
        <w:u w:val="none"/>
      </w:rPr>
    </w:lvl>
  </w:abstractNum>
  <w:abstractNum w:abstractNumId="23">
    <w:nsid w:val="6F165B98"/>
    <w:multiLevelType w:val="multilevel"/>
    <w:tmpl w:val="AD622DA4"/>
    <w:lvl w:ilvl="0">
      <w:start w:val="1"/>
      <w:numFmt w:val="decimal"/>
      <w:suff w:val="nothing"/>
      <w:lvlText w:val="ARTICLE %1."/>
      <w:lvlJc w:val="left"/>
      <w:pPr>
        <w:ind w:left="0" w:firstLine="0"/>
      </w:pPr>
      <w:rPr>
        <w:rFonts w:ascii="Times New Roman" w:hAnsi="Times New Roman" w:cs="Times New Roman" w:hint="default"/>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hint="default"/>
        <w:b/>
        <w:i w:val="0"/>
        <w:caps w:val="0"/>
        <w:sz w:val="24"/>
        <w:u w:val="none"/>
      </w:rPr>
    </w:lvl>
    <w:lvl w:ilvl="2">
      <w:start w:val="1"/>
      <w:numFmt w:val="lowerRoman"/>
      <w:lvlText w:val="(%3)"/>
      <w:lvlJc w:val="left"/>
      <w:pPr>
        <w:tabs>
          <w:tab w:val="num" w:pos="2160"/>
        </w:tabs>
        <w:ind w:left="0" w:firstLine="1440"/>
      </w:pPr>
      <w:rPr>
        <w:rFonts w:ascii="Times New Roman" w:hAnsi="Times New Roman" w:cs="Times New Roman" w:hint="default"/>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hint="default"/>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hint="default"/>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hint="default"/>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hint="default"/>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hint="default"/>
        <w:b w:val="0"/>
        <w:i w:val="0"/>
        <w:caps w:val="0"/>
        <w:sz w:val="22"/>
        <w:u w:val="none"/>
      </w:rPr>
    </w:lvl>
  </w:abstractNum>
  <w:abstractNum w:abstractNumId="24">
    <w:nsid w:val="79EE702E"/>
    <w:multiLevelType w:val="hybridMultilevel"/>
    <w:tmpl w:val="E47E52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1"/>
  </w:num>
  <w:num w:numId="18">
    <w:abstractNumId w:val="19"/>
  </w:num>
  <w:num w:numId="19">
    <w:abstractNumId w:val="24"/>
  </w:num>
  <w:num w:numId="20">
    <w:abstractNumId w:val="17"/>
  </w:num>
  <w:num w:numId="21">
    <w:abstractNumId w:val="20"/>
  </w:num>
  <w:num w:numId="22">
    <w:abstractNumId w:val="15"/>
  </w:num>
  <w:num w:numId="23">
    <w:abstractNumId w:val="22"/>
  </w:num>
  <w:num w:numId="24">
    <w:abstractNumId w:val="23"/>
  </w:num>
  <w:num w:numId="25">
    <w:abstractNumId w:val="16"/>
  </w:num>
  <w:num w:numId="26">
    <w:abstractNumId w:val="18"/>
  </w:num>
  <w:num w:numId="27">
    <w:abstractNumId w:val="1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ocumentProtection w:edit="readOnly" w:enforcement="1" w:cryptProviderType="rsaFull" w:cryptAlgorithmClass="hash" w:cryptAlgorithmType="typeAny" w:cryptAlgorithmSid="4" w:cryptSpinCount="100000" w:hash="j2q46uLjIBzgASZ5frsMYvltMsY=" w:salt="EmpxjsL6Q1v/ghTW3Sz2F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E2DD4"/>
    <w:rsid w:val="001112EB"/>
    <w:rsid w:val="00115B11"/>
    <w:rsid w:val="00116751"/>
    <w:rsid w:val="00116C77"/>
    <w:rsid w:val="001171A6"/>
    <w:rsid w:val="001372EE"/>
    <w:rsid w:val="001636C3"/>
    <w:rsid w:val="0016627F"/>
    <w:rsid w:val="001A750A"/>
    <w:rsid w:val="001B6B15"/>
    <w:rsid w:val="001D0A5A"/>
    <w:rsid w:val="00221DBC"/>
    <w:rsid w:val="00275028"/>
    <w:rsid w:val="002B30B6"/>
    <w:rsid w:val="002D31E3"/>
    <w:rsid w:val="002D622A"/>
    <w:rsid w:val="003248F3"/>
    <w:rsid w:val="00372C25"/>
    <w:rsid w:val="003A582D"/>
    <w:rsid w:val="003D78A1"/>
    <w:rsid w:val="003F1ECD"/>
    <w:rsid w:val="003F5C01"/>
    <w:rsid w:val="00410C40"/>
    <w:rsid w:val="00442E65"/>
    <w:rsid w:val="004520B6"/>
    <w:rsid w:val="0046082C"/>
    <w:rsid w:val="00460FC4"/>
    <w:rsid w:val="004A0997"/>
    <w:rsid w:val="004C515D"/>
    <w:rsid w:val="004D3240"/>
    <w:rsid w:val="004F553F"/>
    <w:rsid w:val="005229EC"/>
    <w:rsid w:val="005332B6"/>
    <w:rsid w:val="005D6885"/>
    <w:rsid w:val="005E5A88"/>
    <w:rsid w:val="006251CC"/>
    <w:rsid w:val="00654B38"/>
    <w:rsid w:val="006631DB"/>
    <w:rsid w:val="0069064E"/>
    <w:rsid w:val="006A257B"/>
    <w:rsid w:val="006D627D"/>
    <w:rsid w:val="007D2E95"/>
    <w:rsid w:val="007D68BC"/>
    <w:rsid w:val="0082394D"/>
    <w:rsid w:val="00844E44"/>
    <w:rsid w:val="0086165B"/>
    <w:rsid w:val="008B472D"/>
    <w:rsid w:val="0090638C"/>
    <w:rsid w:val="009250C2"/>
    <w:rsid w:val="00947855"/>
    <w:rsid w:val="00973E5D"/>
    <w:rsid w:val="009874ED"/>
    <w:rsid w:val="00992BFB"/>
    <w:rsid w:val="009963F6"/>
    <w:rsid w:val="009A7216"/>
    <w:rsid w:val="009C2B78"/>
    <w:rsid w:val="009C6F01"/>
    <w:rsid w:val="00A01BAD"/>
    <w:rsid w:val="00A329C6"/>
    <w:rsid w:val="00A41F74"/>
    <w:rsid w:val="00AD1819"/>
    <w:rsid w:val="00AF2699"/>
    <w:rsid w:val="00B84D31"/>
    <w:rsid w:val="00B8774B"/>
    <w:rsid w:val="00B93962"/>
    <w:rsid w:val="00BC0CA9"/>
    <w:rsid w:val="00BC2AE3"/>
    <w:rsid w:val="00BD4CE9"/>
    <w:rsid w:val="00BF2B5B"/>
    <w:rsid w:val="00C314DA"/>
    <w:rsid w:val="00C47078"/>
    <w:rsid w:val="00C94836"/>
    <w:rsid w:val="00CD372E"/>
    <w:rsid w:val="00D6646D"/>
    <w:rsid w:val="00DB7962"/>
    <w:rsid w:val="00DC4638"/>
    <w:rsid w:val="00DC4F22"/>
    <w:rsid w:val="00E17C76"/>
    <w:rsid w:val="00E746BC"/>
    <w:rsid w:val="00EE356C"/>
    <w:rsid w:val="00EE7092"/>
    <w:rsid w:val="00EE73D1"/>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23"/>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23"/>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23"/>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23"/>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23"/>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16627F"/>
    <w:rPr>
      <w:color w:val="0000FF"/>
      <w:u w:val="doub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23"/>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23"/>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23"/>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23"/>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23"/>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16627F"/>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022E0-A1F1-4FBF-B74A-DD1CD1FCA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33154</Words>
  <Characters>188982</Characters>
  <Application>Microsoft Office Word</Application>
  <DocSecurity>8</DocSecurity>
  <Lines>1574</Lines>
  <Paragraphs>443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2013-11-07T01:26:00Z</dcterms:created>
  <dcterms:modified xsi:type="dcterms:W3CDTF">2013-11-07T01:26:00Z</dcterms:modified>
</cp:coreProperties>
</file>