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6E0A1C9B" w:rsidR="00B8520C" w:rsidRDefault="00B8520C" w:rsidP="00B8520C">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_________________ (the “Effective Date”) between Internet Corporation for Assigned Names and Numbers, a California nonprofit public benefit corporation (“ICANN”), and </w:t>
      </w:r>
      <w:r w:rsidR="001507D4">
        <w:rPr>
          <w:rFonts w:asciiTheme="majorHAnsi" w:hAnsiTheme="majorHAnsi"/>
          <w:sz w:val="24"/>
          <w:szCs w:val="24"/>
        </w:rPr>
        <w:t>National Association of Real Estate Investment Trusts, Inc.</w:t>
      </w:r>
      <w:r>
        <w:rPr>
          <w:rFonts w:asciiTheme="majorHAnsi" w:hAnsiTheme="majorHAnsi"/>
          <w:sz w:val="24"/>
          <w:szCs w:val="24"/>
        </w:rPr>
        <w:t xml:space="preserve">, a </w:t>
      </w:r>
      <w:r w:rsidR="002E01B5">
        <w:rPr>
          <w:rFonts w:asciiTheme="majorHAnsi" w:hAnsiTheme="majorHAnsi"/>
          <w:sz w:val="24"/>
          <w:szCs w:val="24"/>
        </w:rPr>
        <w:t xml:space="preserve">Washington, District of Columbia nonprofit corporation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B353F2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proofErr w:type="spellStart"/>
      <w:r w:rsidR="00895447">
        <w:rPr>
          <w:rFonts w:asciiTheme="majorHAnsi" w:eastAsia="DFKai-SB" w:hAnsiTheme="majorHAnsi" w:cs="Courier"/>
          <w:b/>
          <w:szCs w:val="24"/>
        </w:rPr>
        <w:t>reit</w:t>
      </w:r>
      <w:proofErr w:type="spellEnd"/>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F5167D9" w14:textId="77777777" w:rsidR="00AA6C8C"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0109E28D" w:rsidR="0002379D" w:rsidRPr="00AA6C8C" w:rsidRDefault="0002379D" w:rsidP="00AA6C8C">
      <w:pPr>
        <w:pStyle w:val="ARTICLEAL2"/>
        <w:rPr>
          <w:rFonts w:asciiTheme="majorHAnsi" w:hAnsiTheme="majorHAnsi"/>
          <w:szCs w:val="24"/>
        </w:rPr>
      </w:pPr>
      <w:r w:rsidRPr="00AA6C8C">
        <w:rPr>
          <w:rFonts w:asciiTheme="majorHAnsi" w:hAnsiTheme="majorHAnsi"/>
          <w:b/>
          <w:szCs w:val="24"/>
        </w:rPr>
        <w:t>Obligations of Registry Operator to TLD Community.</w:t>
      </w:r>
      <w:r w:rsidRPr="00AA6C8C">
        <w:rPr>
          <w:rFonts w:asciiTheme="majorHAnsi" w:hAnsiTheme="majorHAnsi"/>
          <w:szCs w:val="24"/>
        </w:rPr>
        <w:t xml:space="preserve">  Registry Operator shall establish registration policies in conformity with the application submitted with respect to the TLD for:  (</w:t>
      </w:r>
      <w:proofErr w:type="spellStart"/>
      <w:r w:rsidRPr="00AA6C8C">
        <w:rPr>
          <w:rFonts w:asciiTheme="majorHAnsi" w:hAnsiTheme="majorHAnsi"/>
          <w:szCs w:val="24"/>
        </w:rPr>
        <w:t>i</w:t>
      </w:r>
      <w:proofErr w:type="spellEnd"/>
      <w:r w:rsidRPr="00AA6C8C">
        <w:rPr>
          <w:rFonts w:asciiTheme="majorHAnsi" w:hAnsiTheme="majorHAnsi"/>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00AB023D" w:rsidRPr="00AA6C8C">
          <w:rPr>
            <w:rFonts w:asciiTheme="majorHAnsi" w:hAnsiTheme="majorHAnsi"/>
            <w:szCs w:val="24"/>
          </w:rPr>
          <w:t>http://www.icann.org/en/resources/registries/rrdrp</w:t>
        </w:r>
      </w:hyperlink>
      <w:r w:rsidR="00AB023D" w:rsidRPr="00AA6C8C">
        <w:rPr>
          <w:rFonts w:asciiTheme="majorHAnsi" w:hAnsiTheme="majorHAnsi"/>
          <w:szCs w:val="24"/>
        </w:rPr>
        <w:t xml:space="preserve"> </w:t>
      </w:r>
      <w:r w:rsidRPr="00AA6C8C">
        <w:rPr>
          <w:rFonts w:asciiTheme="majorHAnsi" w:hAnsiTheme="majorHAnsi"/>
          <w:szCs w:val="24"/>
        </w:rPr>
        <w:t>with respect to disputes arising pursuant to this Section 2.19.  Registry Operator shall implement and comply with the community registration policies set forth on Specification 12 attached hereto.</w:t>
      </w:r>
    </w:p>
    <w:p w14:paraId="4BF1602B" w14:textId="77777777" w:rsidR="00AA6C8C" w:rsidRPr="00AA6C8C" w:rsidRDefault="00AA6C8C" w:rsidP="00AA6C8C">
      <w:pPr>
        <w:rPr>
          <w:rFonts w:asciiTheme="majorHAnsi" w:hAnsiTheme="majorHAnsi"/>
          <w:sz w:val="24"/>
          <w:szCs w:val="24"/>
        </w:rPr>
      </w:pP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26769B1" w14:textId="781D93C1" w:rsidR="0002379D"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2DCBE61" w14:textId="77777777" w:rsidR="00370DB8" w:rsidRPr="00370DB8" w:rsidRDefault="00370DB8" w:rsidP="00370DB8">
      <w:pPr>
        <w:pStyle w:val="BodyText"/>
      </w:pP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CFF5DD7" w14:textId="44EFF40A" w:rsidR="00934DEB" w:rsidRPr="00895447" w:rsidRDefault="005332B6" w:rsidP="00934D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895447">
        <w:rPr>
          <w:rFonts w:asciiTheme="majorHAnsi" w:hAnsiTheme="majorHAnsi"/>
          <w:sz w:val="24"/>
          <w:szCs w:val="24"/>
        </w:rPr>
        <w:t>If to Registry Operator, addressed to:</w:t>
      </w:r>
      <w:r w:rsidR="00A12CFF" w:rsidRPr="00895447">
        <w:rPr>
          <w:rFonts w:asciiTheme="majorHAnsi" w:hAnsiTheme="majorHAnsi"/>
          <w:sz w:val="24"/>
          <w:szCs w:val="24"/>
        </w:rPr>
        <w:br/>
      </w:r>
      <w:r w:rsidR="001507D4" w:rsidRPr="00895447">
        <w:rPr>
          <w:rFonts w:asciiTheme="majorHAnsi" w:hAnsiTheme="majorHAnsi"/>
          <w:sz w:val="24"/>
          <w:szCs w:val="24"/>
        </w:rPr>
        <w:t>National Association of Real Estate Investment Trusts, Inc.</w:t>
      </w:r>
      <w:r w:rsidR="00934DEB" w:rsidRPr="00895447">
        <w:rPr>
          <w:rFonts w:asciiTheme="majorHAnsi" w:hAnsiTheme="majorHAnsi"/>
          <w:sz w:val="24"/>
          <w:szCs w:val="24"/>
        </w:rPr>
        <w:br/>
      </w:r>
      <w:r w:rsidR="001507D4" w:rsidRPr="00895447">
        <w:rPr>
          <w:rFonts w:asciiTheme="majorHAnsi" w:eastAsia="DFKai-SB" w:hAnsiTheme="majorHAnsi" w:cs="Arial"/>
          <w:sz w:val="24"/>
          <w:szCs w:val="24"/>
        </w:rPr>
        <w:t>1875 I Street, NW Suite 600</w:t>
      </w:r>
    </w:p>
    <w:p w14:paraId="0BBFB51C" w14:textId="62C58BC2" w:rsidR="00934DEB" w:rsidRPr="00895447" w:rsidRDefault="001507D4" w:rsidP="00934DEB">
      <w:pPr>
        <w:widowControl w:val="0"/>
        <w:autoSpaceDE w:val="0"/>
        <w:autoSpaceDN w:val="0"/>
        <w:adjustRightInd w:val="0"/>
        <w:ind w:left="1440"/>
        <w:rPr>
          <w:rFonts w:asciiTheme="majorHAnsi" w:eastAsia="DFKai-SB" w:hAnsiTheme="majorHAnsi" w:cs="Arial"/>
          <w:sz w:val="24"/>
          <w:szCs w:val="24"/>
        </w:rPr>
      </w:pPr>
      <w:r w:rsidRPr="00895447">
        <w:rPr>
          <w:rFonts w:asciiTheme="majorHAnsi" w:eastAsia="DFKai-SB" w:hAnsiTheme="majorHAnsi" w:cs="Arial"/>
          <w:sz w:val="24"/>
          <w:szCs w:val="24"/>
        </w:rPr>
        <w:t>Washington, DC 20006-5413</w:t>
      </w:r>
    </w:p>
    <w:p w14:paraId="5493A8E5" w14:textId="1A7D7F50" w:rsidR="00934DEB" w:rsidRPr="00895447" w:rsidRDefault="001507D4" w:rsidP="00934DEB">
      <w:pPr>
        <w:widowControl w:val="0"/>
        <w:autoSpaceDE w:val="0"/>
        <w:autoSpaceDN w:val="0"/>
        <w:adjustRightInd w:val="0"/>
        <w:ind w:left="1440"/>
        <w:rPr>
          <w:rFonts w:asciiTheme="majorHAnsi" w:hAnsiTheme="majorHAnsi"/>
          <w:sz w:val="24"/>
          <w:szCs w:val="24"/>
        </w:rPr>
      </w:pPr>
      <w:r w:rsidRPr="00895447">
        <w:rPr>
          <w:rFonts w:asciiTheme="majorHAnsi" w:eastAsia="DFKai-SB" w:hAnsiTheme="majorHAnsi" w:cs="Arial"/>
          <w:sz w:val="24"/>
          <w:szCs w:val="24"/>
        </w:rPr>
        <w:t>USA</w:t>
      </w:r>
    </w:p>
    <w:p w14:paraId="359E2100" w14:textId="77777777" w:rsidR="001507D4" w:rsidRPr="00895447" w:rsidRDefault="00934DEB" w:rsidP="00934DEB">
      <w:pPr>
        <w:pStyle w:val="BodyTextIndent"/>
        <w:spacing w:after="0"/>
        <w:rPr>
          <w:rFonts w:asciiTheme="majorHAnsi" w:eastAsia="DFKai-SB" w:hAnsiTheme="majorHAnsi" w:cs="Arial"/>
          <w:sz w:val="24"/>
          <w:szCs w:val="24"/>
        </w:rPr>
      </w:pPr>
      <w:r w:rsidRPr="00895447">
        <w:rPr>
          <w:rFonts w:asciiTheme="majorHAnsi" w:hAnsiTheme="majorHAnsi"/>
          <w:sz w:val="24"/>
          <w:szCs w:val="24"/>
        </w:rPr>
        <w:t>Telephone:  +</w:t>
      </w:r>
      <w:r w:rsidR="001507D4" w:rsidRPr="00895447">
        <w:rPr>
          <w:rFonts w:asciiTheme="majorHAnsi" w:eastAsia="DFKai-SB" w:hAnsiTheme="majorHAnsi" w:cs="Arial"/>
          <w:sz w:val="24"/>
          <w:szCs w:val="24"/>
        </w:rPr>
        <w:t>12027399441</w:t>
      </w:r>
    </w:p>
    <w:p w14:paraId="3FC33C19" w14:textId="489E907A" w:rsidR="00934DEB" w:rsidRPr="00895447" w:rsidRDefault="001507D4" w:rsidP="00934DEB">
      <w:pPr>
        <w:pStyle w:val="BodyTextIndent"/>
        <w:spacing w:after="0"/>
        <w:rPr>
          <w:rFonts w:asciiTheme="majorHAnsi" w:eastAsia="DFKai-SB" w:hAnsiTheme="majorHAnsi" w:cs="Arial"/>
          <w:sz w:val="24"/>
          <w:szCs w:val="24"/>
        </w:rPr>
      </w:pPr>
      <w:r w:rsidRPr="00895447">
        <w:rPr>
          <w:rFonts w:asciiTheme="majorHAnsi" w:hAnsiTheme="majorHAnsi"/>
          <w:sz w:val="24"/>
          <w:szCs w:val="24"/>
        </w:rPr>
        <w:t>Facsimile:  +</w:t>
      </w:r>
      <w:r w:rsidRPr="00895447">
        <w:rPr>
          <w:rFonts w:asciiTheme="majorHAnsi" w:eastAsia="DFKai-SB" w:hAnsiTheme="majorHAnsi" w:cs="Arial"/>
          <w:sz w:val="24"/>
          <w:szCs w:val="24"/>
        </w:rPr>
        <w:t xml:space="preserve"> 12027399453</w:t>
      </w:r>
      <w:r w:rsidR="00934DEB" w:rsidRPr="00895447">
        <w:rPr>
          <w:rFonts w:asciiTheme="majorHAnsi" w:hAnsiTheme="majorHAnsi"/>
          <w:sz w:val="24"/>
          <w:szCs w:val="24"/>
        </w:rPr>
        <w:br/>
        <w:t xml:space="preserve">Attention:  </w:t>
      </w:r>
      <w:r w:rsidRPr="00895447">
        <w:rPr>
          <w:rFonts w:asciiTheme="majorHAnsi" w:eastAsia="DFKai-SB" w:hAnsiTheme="majorHAnsi" w:cs="Arial"/>
          <w:sz w:val="24"/>
          <w:szCs w:val="24"/>
        </w:rPr>
        <w:t>Victor</w:t>
      </w:r>
      <w:r w:rsidRPr="00895447">
        <w:rPr>
          <w:rFonts w:asciiTheme="majorHAnsi" w:hAnsiTheme="majorHAnsi"/>
          <w:sz w:val="24"/>
          <w:szCs w:val="24"/>
        </w:rPr>
        <w:t xml:space="preserve"> </w:t>
      </w:r>
      <w:proofErr w:type="spellStart"/>
      <w:r w:rsidRPr="00895447">
        <w:rPr>
          <w:rFonts w:asciiTheme="majorHAnsi" w:eastAsia="DFKai-SB" w:hAnsiTheme="majorHAnsi" w:cs="Arial"/>
          <w:sz w:val="24"/>
          <w:szCs w:val="24"/>
        </w:rPr>
        <w:t>Dristas</w:t>
      </w:r>
      <w:proofErr w:type="spellEnd"/>
      <w:r w:rsidR="00934DEB" w:rsidRPr="00895447">
        <w:rPr>
          <w:rFonts w:asciiTheme="majorHAnsi" w:hAnsiTheme="majorHAnsi"/>
          <w:sz w:val="24"/>
          <w:szCs w:val="24"/>
        </w:rPr>
        <w:t xml:space="preserve">, </w:t>
      </w:r>
      <w:r w:rsidRPr="00895447">
        <w:rPr>
          <w:rFonts w:asciiTheme="majorHAnsi" w:eastAsia="DFKai-SB" w:hAnsiTheme="majorHAnsi" w:cs="Arial"/>
          <w:sz w:val="24"/>
          <w:szCs w:val="24"/>
        </w:rPr>
        <w:t>Vice President, Operations</w:t>
      </w:r>
    </w:p>
    <w:p w14:paraId="3FE55BEE" w14:textId="69251D2C" w:rsidR="00934DEB" w:rsidRPr="00895447" w:rsidRDefault="00934DEB" w:rsidP="00934DEB">
      <w:pPr>
        <w:pStyle w:val="BodyTextIndent"/>
        <w:rPr>
          <w:rFonts w:asciiTheme="majorHAnsi" w:hAnsiTheme="majorHAnsi"/>
          <w:sz w:val="24"/>
          <w:szCs w:val="24"/>
        </w:rPr>
      </w:pPr>
      <w:r w:rsidRPr="00895447">
        <w:rPr>
          <w:rFonts w:asciiTheme="majorHAnsi" w:hAnsiTheme="majorHAnsi"/>
          <w:sz w:val="24"/>
          <w:szCs w:val="24"/>
        </w:rPr>
        <w:t xml:space="preserve">Email: </w:t>
      </w:r>
      <w:r w:rsidR="001507D4" w:rsidRPr="00895447">
        <w:rPr>
          <w:rFonts w:asciiTheme="majorHAnsi" w:eastAsia="DFKai-SB" w:hAnsiTheme="majorHAnsi" w:cs="Arial"/>
          <w:sz w:val="24"/>
          <w:szCs w:val="24"/>
        </w:rPr>
        <w:t>vdristas@nareit.com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E51B317" w14:textId="14C6E711" w:rsidR="00934DEB" w:rsidRPr="001507D4" w:rsidRDefault="001507D4" w:rsidP="00934DEB">
      <w:pPr>
        <w:pStyle w:val="BodyText"/>
        <w:rPr>
          <w:rFonts w:asciiTheme="majorHAnsi" w:hAnsiTheme="majorHAnsi"/>
          <w:b/>
          <w:sz w:val="24"/>
          <w:szCs w:val="24"/>
        </w:rPr>
      </w:pPr>
      <w:r w:rsidRPr="001507D4">
        <w:rPr>
          <w:rFonts w:asciiTheme="majorHAnsi" w:hAnsiTheme="majorHAnsi"/>
          <w:b/>
          <w:sz w:val="24"/>
          <w:szCs w:val="24"/>
        </w:rPr>
        <w:t>NATIONAL ASSOCIATION OF REAL ESTATE INVESTMENT TRUSTS, INC.</w:t>
      </w:r>
      <w:r w:rsidR="00934DEB" w:rsidRPr="001507D4">
        <w:rPr>
          <w:rFonts w:asciiTheme="majorHAnsi" w:hAnsiTheme="majorHAnsi"/>
          <w:b/>
          <w:sz w:val="24"/>
          <w:szCs w:val="24"/>
        </w:rPr>
        <w:t xml:space="preserve">  </w:t>
      </w:r>
    </w:p>
    <w:p w14:paraId="0F5056CB" w14:textId="3BC1D756" w:rsidR="00934DEB" w:rsidRPr="001507D4" w:rsidRDefault="00934DEB" w:rsidP="00934DEB">
      <w:pPr>
        <w:pStyle w:val="BodyTextIndent2"/>
        <w:rPr>
          <w:rFonts w:asciiTheme="majorHAnsi" w:hAnsiTheme="majorHAnsi"/>
          <w:sz w:val="24"/>
          <w:szCs w:val="24"/>
        </w:rPr>
      </w:pPr>
      <w:r w:rsidRPr="001507D4">
        <w:rPr>
          <w:rFonts w:asciiTheme="majorHAnsi" w:hAnsiTheme="majorHAnsi"/>
          <w:sz w:val="24"/>
          <w:szCs w:val="24"/>
        </w:rPr>
        <w:t>By:</w:t>
      </w:r>
      <w:r w:rsidRPr="001507D4">
        <w:rPr>
          <w:rFonts w:asciiTheme="majorHAnsi" w:hAnsiTheme="majorHAnsi"/>
          <w:sz w:val="24"/>
          <w:szCs w:val="24"/>
        </w:rPr>
        <w:tab/>
        <w:t>_____________________________</w:t>
      </w:r>
      <w:r w:rsidRPr="001507D4">
        <w:rPr>
          <w:rFonts w:asciiTheme="majorHAnsi" w:hAnsiTheme="majorHAnsi"/>
          <w:sz w:val="24"/>
          <w:szCs w:val="24"/>
        </w:rPr>
        <w:br/>
      </w:r>
      <w:r w:rsidRPr="001507D4">
        <w:rPr>
          <w:rFonts w:asciiTheme="majorHAnsi" w:hAnsiTheme="majorHAnsi"/>
          <w:sz w:val="24"/>
          <w:szCs w:val="24"/>
        </w:rPr>
        <w:tab/>
      </w:r>
      <w:r w:rsidR="001507D4" w:rsidRPr="001507D4">
        <w:rPr>
          <w:rFonts w:asciiTheme="majorHAnsi" w:eastAsia="DFKai-SB" w:hAnsiTheme="majorHAnsi" w:cs="Arial"/>
          <w:sz w:val="24"/>
          <w:szCs w:val="24"/>
        </w:rPr>
        <w:t>Steve</w:t>
      </w:r>
      <w:r w:rsidR="001507D4" w:rsidRPr="001507D4">
        <w:rPr>
          <w:rFonts w:asciiTheme="majorHAnsi" w:hAnsiTheme="majorHAnsi"/>
          <w:sz w:val="24"/>
          <w:szCs w:val="24"/>
        </w:rPr>
        <w:t xml:space="preserve"> </w:t>
      </w:r>
      <w:r w:rsidR="001507D4" w:rsidRPr="001507D4">
        <w:rPr>
          <w:rFonts w:asciiTheme="majorHAnsi" w:eastAsia="DFKai-SB" w:hAnsiTheme="majorHAnsi" w:cs="Arial"/>
          <w:sz w:val="24"/>
          <w:szCs w:val="24"/>
        </w:rPr>
        <w:t>A. Wechsler</w:t>
      </w:r>
    </w:p>
    <w:p w14:paraId="2809F7D1" w14:textId="207FB414" w:rsidR="00260FB1" w:rsidRPr="001507D4" w:rsidRDefault="001507D4" w:rsidP="00934DEB">
      <w:pPr>
        <w:pStyle w:val="BodyText"/>
        <w:ind w:left="720"/>
        <w:rPr>
          <w:rFonts w:asciiTheme="majorHAnsi" w:hAnsiTheme="majorHAnsi"/>
          <w:sz w:val="24"/>
          <w:szCs w:val="24"/>
        </w:rPr>
      </w:pPr>
      <w:r w:rsidRPr="001507D4">
        <w:rPr>
          <w:rFonts w:asciiTheme="majorHAnsi" w:eastAsia="DFKai-SB" w:hAnsiTheme="majorHAnsi" w:cs="Arial"/>
          <w:sz w:val="24"/>
          <w:szCs w:val="24"/>
        </w:rPr>
        <w:t>President and CEO</w:t>
      </w:r>
      <w:r w:rsidR="00934DEB" w:rsidRPr="001507D4">
        <w:rPr>
          <w:rFonts w:asciiTheme="majorHAnsi" w:hAnsiTheme="majorHAnsi"/>
          <w:sz w:val="24"/>
          <w:szCs w:val="24"/>
        </w:rPr>
        <w:br/>
      </w:r>
    </w:p>
    <w:p w14:paraId="291A593F" w14:textId="081D3865" w:rsidR="00115B11" w:rsidRDefault="005332B6" w:rsidP="00A12CFF">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62DC615" w14:textId="77777777" w:rsidR="004A45C6" w:rsidRPr="007219B2" w:rsidRDefault="004A45C6" w:rsidP="004A45C6">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514F6E9" w14:textId="77777777" w:rsidR="004A45C6" w:rsidRPr="007219B2" w:rsidRDefault="004A45C6" w:rsidP="004A45C6">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05115FA" w14:textId="77777777" w:rsidR="004A45C6" w:rsidRPr="007219B2" w:rsidRDefault="004A45C6" w:rsidP="004A4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1C4B651"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293187F"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01F848C"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42CC27A"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42DB76F" w14:textId="77777777" w:rsidR="004A45C6" w:rsidRPr="007219B2" w:rsidRDefault="004A45C6" w:rsidP="004A45C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8E2F37F" w14:textId="77777777" w:rsidR="004A45C6" w:rsidRPr="007219B2" w:rsidRDefault="004A45C6" w:rsidP="004A4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5A3FE45" w14:textId="77777777" w:rsidR="004A45C6" w:rsidRPr="00272B54" w:rsidRDefault="004A45C6" w:rsidP="004A45C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F5E5A34" w14:textId="77777777" w:rsidR="004A45C6" w:rsidRPr="007E62FE" w:rsidRDefault="004A45C6" w:rsidP="004A45C6">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1B7857C" w14:textId="77777777" w:rsidR="004A45C6" w:rsidRPr="007E62FE" w:rsidRDefault="004A45C6" w:rsidP="004A45C6">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888C4FB" w14:textId="77777777" w:rsidR="004A45C6" w:rsidRDefault="004A45C6" w:rsidP="004A45C6">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1F9B058" w14:textId="77777777" w:rsidR="004A45C6" w:rsidRPr="004A4A05" w:rsidRDefault="004A45C6" w:rsidP="004A45C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w:t>
      </w:r>
      <w:proofErr w:type="spellStart"/>
      <w:r w:rsidRPr="002E3D5E">
        <w:rPr>
          <w:rFonts w:asciiTheme="majorHAnsi" w:hAnsiTheme="majorHAnsi"/>
          <w:sz w:val="24"/>
          <w:szCs w:val="24"/>
        </w:rPr>
        <w:t>xn</w:t>
      </w:r>
      <w:proofErr w:type="spellEnd"/>
      <w:r w:rsidRPr="002E3D5E">
        <w:rPr>
          <w:rFonts w:asciiTheme="majorHAnsi" w:hAnsiTheme="majorHAnsi"/>
          <w:sz w:val="24"/>
          <w:szCs w:val="24"/>
        </w:rPr>
        <w:t>--ndk061n”).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(RFC 3912), Web based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Name Collision Occurrence Management Plan approved by the ICANN Board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Program Committee (NGPC) on 7 October 2013 as found at &lt;</w:t>
      </w:r>
      <w:hyperlink r:id="rId31"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E202D83" w14:textId="77777777" w:rsidR="00B4268D" w:rsidRPr="00B4268D" w:rsidRDefault="00B4268D" w:rsidP="00B4268D">
      <w:pPr>
        <w:rPr>
          <w:rFonts w:asciiTheme="majorHAnsi" w:eastAsia="MS Gothic" w:hAnsiTheme="majorHAnsi" w:cs="Cambria"/>
          <w:color w:val="000000"/>
          <w:sz w:val="24"/>
          <w:szCs w:val="24"/>
        </w:rPr>
      </w:pPr>
    </w:p>
    <w:p w14:paraId="31AD3132" w14:textId="77777777" w:rsidR="00B4268D" w:rsidRPr="00335964" w:rsidRDefault="00B4268D" w:rsidP="00B4268D">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5C45084E" w14:textId="77777777" w:rsidR="00B4268D" w:rsidRPr="00335964" w:rsidRDefault="00B4268D" w:rsidP="00B4268D">
      <w:pPr>
        <w:rPr>
          <w:rFonts w:asciiTheme="majorHAnsi" w:hAnsiTheme="majorHAnsi"/>
          <w:sz w:val="24"/>
          <w:szCs w:val="24"/>
        </w:rPr>
      </w:pPr>
    </w:p>
    <w:p w14:paraId="5F5C7A91" w14:textId="77777777" w:rsidR="00B4268D" w:rsidRPr="00335964" w:rsidRDefault="00B4268D" w:rsidP="00B4268D">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79D6EB88" w14:textId="77777777" w:rsidR="00B4268D" w:rsidRPr="00335964" w:rsidRDefault="00B4268D" w:rsidP="00B4268D">
      <w:pPr>
        <w:rPr>
          <w:rFonts w:asciiTheme="majorHAnsi" w:hAnsiTheme="majorHAnsi"/>
          <w:sz w:val="24"/>
          <w:szCs w:val="24"/>
        </w:rPr>
      </w:pPr>
    </w:p>
    <w:p w14:paraId="4516BEF6" w14:textId="77777777" w:rsidR="00B4268D" w:rsidRPr="00335964" w:rsidRDefault="00B4268D" w:rsidP="00B4268D">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6454391E" w14:textId="77777777" w:rsidR="00B4268D" w:rsidRDefault="00B4268D" w:rsidP="00B4268D">
      <w:pPr>
        <w:pStyle w:val="ListParagraph"/>
        <w:ind w:left="1440"/>
        <w:rPr>
          <w:rFonts w:asciiTheme="majorHAnsi" w:eastAsia="MS Gothic" w:hAnsiTheme="majorHAnsi" w:cs="Cambria"/>
          <w:color w:val="000000"/>
          <w:sz w:val="24"/>
          <w:szCs w:val="24"/>
        </w:rPr>
      </w:pPr>
    </w:p>
    <w:p w14:paraId="2F4B0295" w14:textId="77777777" w:rsidR="00AA6C8C" w:rsidRDefault="00AA6C8C">
      <w:p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br w:type="page"/>
      </w:r>
    </w:p>
    <w:p w14:paraId="0C2E115B" w14:textId="4FBEEAAD" w:rsidR="00503D6A" w:rsidRPr="00AA6C8C" w:rsidRDefault="00503D6A" w:rsidP="00AA6C8C">
      <w:pPr>
        <w:jc w:val="center"/>
        <w:rPr>
          <w:rFonts w:asciiTheme="majorHAnsi" w:eastAsia="MS Gothic" w:hAnsiTheme="majorHAnsi" w:cs="Cambria"/>
          <w:b/>
          <w:color w:val="000000"/>
          <w:sz w:val="24"/>
          <w:szCs w:val="24"/>
        </w:rPr>
      </w:pPr>
    </w:p>
    <w:p w14:paraId="66E258D3" w14:textId="77777777" w:rsidR="00ED0FE6" w:rsidRPr="00AA6C8C" w:rsidRDefault="00ED0FE6" w:rsidP="00AA6C8C">
      <w:pPr>
        <w:jc w:val="center"/>
        <w:rPr>
          <w:rFonts w:asciiTheme="majorHAnsi" w:hAnsiTheme="majorHAnsi"/>
          <w:b/>
          <w:sz w:val="24"/>
          <w:szCs w:val="24"/>
        </w:rPr>
      </w:pPr>
      <w:r w:rsidRPr="00AA6C8C">
        <w:rPr>
          <w:rFonts w:asciiTheme="majorHAnsi" w:hAnsiTheme="majorHAnsi"/>
          <w:b/>
          <w:sz w:val="24"/>
          <w:szCs w:val="24"/>
        </w:rPr>
        <w:t>SPECIFICATION 12</w:t>
      </w:r>
      <w:r w:rsidRPr="00AA6C8C">
        <w:rPr>
          <w:rFonts w:asciiTheme="majorHAnsi" w:hAnsiTheme="majorHAnsi"/>
          <w:b/>
          <w:sz w:val="24"/>
          <w:szCs w:val="24"/>
        </w:rPr>
        <w:tab/>
      </w:r>
      <w:r w:rsidRPr="00AA6C8C">
        <w:rPr>
          <w:rFonts w:asciiTheme="majorHAnsi" w:hAnsiTheme="majorHAnsi"/>
          <w:b/>
          <w:sz w:val="24"/>
          <w:szCs w:val="24"/>
        </w:rPr>
        <w:br/>
      </w:r>
      <w:r w:rsidRPr="00AA6C8C">
        <w:rPr>
          <w:rFonts w:asciiTheme="majorHAnsi" w:hAnsiTheme="majorHAnsi"/>
          <w:b/>
          <w:sz w:val="24"/>
          <w:szCs w:val="24"/>
        </w:rPr>
        <w:br/>
        <w:t>COMMUNITY REGISTRATION POLICIES</w:t>
      </w:r>
    </w:p>
    <w:p w14:paraId="6ADB92CD" w14:textId="77777777" w:rsidR="00AE767E" w:rsidRPr="00C654B0" w:rsidRDefault="00AE767E" w:rsidP="00AE767E">
      <w:pPr>
        <w:spacing w:after="240"/>
        <w:rPr>
          <w:rFonts w:asciiTheme="majorHAnsi" w:hAnsiTheme="majorHAnsi"/>
          <w:b/>
          <w:szCs w:val="22"/>
          <w:u w:val="single"/>
        </w:rPr>
      </w:pPr>
    </w:p>
    <w:p w14:paraId="049BA708" w14:textId="77777777" w:rsidR="00AE767E" w:rsidRPr="00E72B98" w:rsidRDefault="00AE767E" w:rsidP="00AE767E">
      <w:pPr>
        <w:spacing w:after="240"/>
        <w:rPr>
          <w:rFonts w:asciiTheme="majorHAnsi" w:hAnsiTheme="majorHAnsi"/>
          <w:b/>
          <w:sz w:val="24"/>
          <w:szCs w:val="24"/>
        </w:rPr>
      </w:pPr>
      <w:r w:rsidRPr="00E72B98">
        <w:rPr>
          <w:rFonts w:asciiTheme="majorHAnsi" w:eastAsiaTheme="minorEastAsia" w:hAnsiTheme="majorHAnsi" w:cs="Calibri"/>
          <w:sz w:val="24"/>
          <w:szCs w:val="24"/>
          <w:lang w:eastAsia="en-US"/>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62638864" w14:textId="77777777" w:rsidR="00AE767E" w:rsidRPr="00E72B98" w:rsidRDefault="00AE767E" w:rsidP="00AE767E">
      <w:pPr>
        <w:spacing w:before="100" w:beforeAutospacing="1" w:after="100" w:afterAutospacing="1"/>
        <w:rPr>
          <w:rFonts w:asciiTheme="majorHAnsi" w:hAnsiTheme="majorHAnsi"/>
          <w:b/>
          <w:sz w:val="24"/>
          <w:szCs w:val="24"/>
        </w:rPr>
      </w:pPr>
      <w:r w:rsidRPr="00E72B98">
        <w:rPr>
          <w:rFonts w:asciiTheme="majorHAnsi" w:hAnsiTheme="majorHAnsi"/>
          <w:b/>
          <w:sz w:val="24"/>
          <w:szCs w:val="24"/>
        </w:rPr>
        <w:t>Eligibility</w:t>
      </w:r>
    </w:p>
    <w:p w14:paraId="1F743DCB"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Registry Operator will determine whether the nation in which the applicant is domiciled has a REIT regime in place. The core features of a REIT are: </w:t>
      </w:r>
    </w:p>
    <w:p w14:paraId="497369F0" w14:textId="77777777" w:rsidR="00AE767E" w:rsidRPr="00E72B98" w:rsidRDefault="00AE767E" w:rsidP="00E72B98">
      <w:pPr>
        <w:pStyle w:val="HTMLPreformatted"/>
        <w:rPr>
          <w:rFonts w:asciiTheme="majorHAnsi" w:hAnsiTheme="majorHAnsi"/>
          <w:color w:val="000000"/>
          <w:sz w:val="24"/>
          <w:szCs w:val="24"/>
        </w:rPr>
      </w:pPr>
    </w:p>
    <w:p w14:paraId="6BB40A2E" w14:textId="0A0D4A31" w:rsidR="00AE767E" w:rsidRPr="00E72B98" w:rsidRDefault="00AE767E" w:rsidP="00E72B98">
      <w:pPr>
        <w:pStyle w:val="Spec1L2"/>
        <w:numPr>
          <w:ilvl w:val="1"/>
          <w:numId w:val="40"/>
        </w:numPr>
        <w:ind w:left="1440"/>
        <w:rPr>
          <w:rFonts w:asciiTheme="majorHAnsi" w:hAnsiTheme="majorHAnsi"/>
          <w:sz w:val="24"/>
          <w:szCs w:val="24"/>
        </w:rPr>
      </w:pPr>
      <w:r w:rsidRPr="00E72B98">
        <w:rPr>
          <w:rFonts w:asciiTheme="majorHAnsi" w:hAnsiTheme="majorHAnsi"/>
          <w:sz w:val="24"/>
          <w:szCs w:val="24"/>
        </w:rPr>
        <w:t xml:space="preserve">ownership must be widely held; </w:t>
      </w:r>
    </w:p>
    <w:p w14:paraId="74F7796C" w14:textId="4EAEAC7C" w:rsidR="00AE767E" w:rsidRPr="00E72B98" w:rsidRDefault="00AE767E" w:rsidP="00E72B98">
      <w:pPr>
        <w:pStyle w:val="Spec1L2"/>
        <w:numPr>
          <w:ilvl w:val="1"/>
          <w:numId w:val="40"/>
        </w:numPr>
        <w:ind w:left="1440"/>
        <w:rPr>
          <w:rFonts w:asciiTheme="majorHAnsi" w:hAnsiTheme="majorHAnsi"/>
          <w:sz w:val="24"/>
          <w:szCs w:val="24"/>
        </w:rPr>
      </w:pPr>
      <w:r w:rsidRPr="00E72B98">
        <w:rPr>
          <w:rFonts w:asciiTheme="majorHAnsi" w:hAnsiTheme="majorHAnsi"/>
          <w:sz w:val="24"/>
          <w:szCs w:val="24"/>
        </w:rPr>
        <w:t xml:space="preserve">a majority of assets &amp; income are real estate related; </w:t>
      </w:r>
    </w:p>
    <w:p w14:paraId="54FA2808" w14:textId="0CA56914" w:rsidR="00AE767E" w:rsidRPr="00E72B98" w:rsidRDefault="00AE767E" w:rsidP="00E72B98">
      <w:pPr>
        <w:pStyle w:val="Spec1L2"/>
        <w:numPr>
          <w:ilvl w:val="1"/>
          <w:numId w:val="40"/>
        </w:numPr>
        <w:ind w:left="1440"/>
        <w:rPr>
          <w:rFonts w:asciiTheme="majorHAnsi" w:hAnsiTheme="majorHAnsi"/>
          <w:sz w:val="24"/>
          <w:szCs w:val="24"/>
        </w:rPr>
      </w:pPr>
      <w:r w:rsidRPr="00E72B98">
        <w:rPr>
          <w:rFonts w:asciiTheme="majorHAnsi" w:hAnsiTheme="majorHAnsi"/>
          <w:sz w:val="24"/>
          <w:szCs w:val="24"/>
        </w:rPr>
        <w:t xml:space="preserve">a majority of income is distributed annually to shareholders (pursuant to applicable law; regulatory or stock exchange requirements or customs; or in order that its distributions be deductible from entity-level income tax); and, </w:t>
      </w:r>
    </w:p>
    <w:p w14:paraId="1BDEA83B" w14:textId="7D5C4387" w:rsidR="00AE767E" w:rsidRPr="00E72B98" w:rsidRDefault="00AE767E" w:rsidP="00E72B98">
      <w:pPr>
        <w:pStyle w:val="Spec1L2"/>
        <w:numPr>
          <w:ilvl w:val="1"/>
          <w:numId w:val="40"/>
        </w:numPr>
        <w:ind w:left="1440"/>
        <w:rPr>
          <w:rFonts w:asciiTheme="majorHAnsi" w:hAnsiTheme="majorHAnsi"/>
          <w:sz w:val="24"/>
          <w:szCs w:val="24"/>
        </w:rPr>
      </w:pPr>
      <w:r w:rsidRPr="00E72B98">
        <w:rPr>
          <w:rFonts w:asciiTheme="majorHAnsi" w:hAnsiTheme="majorHAnsi"/>
          <w:sz w:val="24"/>
          <w:szCs w:val="24"/>
        </w:rPr>
        <w:t>there is only one level of tax on income distributed by the REIT</w:t>
      </w:r>
    </w:p>
    <w:p w14:paraId="47E8936F" w14:textId="77777777" w:rsidR="00AE767E" w:rsidRPr="00E72B98" w:rsidRDefault="00AE767E" w:rsidP="00AE767E">
      <w:pPr>
        <w:pStyle w:val="HTMLPreformatted"/>
        <w:rPr>
          <w:rFonts w:asciiTheme="majorHAnsi" w:hAnsiTheme="majorHAnsi"/>
          <w:color w:val="000000"/>
          <w:sz w:val="24"/>
          <w:szCs w:val="24"/>
        </w:rPr>
      </w:pPr>
    </w:p>
    <w:p w14:paraId="406CE569"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Registry Operator will also consider whether the nation of the applicant has a law that formally establishes a national REIT regime. If an applying entity is organized &amp; operating as a REIT as described above pursuant to the REIT regime in the countries set forth in </w:t>
      </w:r>
      <w:r w:rsidRPr="00E72B98">
        <w:rPr>
          <w:rFonts w:asciiTheme="majorHAnsi" w:hAnsiTheme="majorHAnsi"/>
          <w:b/>
          <w:color w:val="000000"/>
          <w:sz w:val="24"/>
          <w:szCs w:val="24"/>
        </w:rPr>
        <w:t>Attachment 1</w:t>
      </w:r>
      <w:r w:rsidRPr="00E72B98">
        <w:rPr>
          <w:rFonts w:asciiTheme="majorHAnsi" w:hAnsiTheme="majorHAnsi"/>
          <w:color w:val="000000"/>
          <w:sz w:val="24"/>
          <w:szCs w:val="24"/>
        </w:rPr>
        <w:t>, Registry Operator will consider it eligible to register a domain name.</w:t>
      </w:r>
    </w:p>
    <w:p w14:paraId="2CA9D00D" w14:textId="77777777" w:rsidR="00AE767E" w:rsidRPr="00E72B98" w:rsidRDefault="00AE767E" w:rsidP="00AE767E">
      <w:pPr>
        <w:pStyle w:val="HTMLPreformatted"/>
        <w:rPr>
          <w:rFonts w:asciiTheme="majorHAnsi" w:hAnsiTheme="majorHAnsi"/>
          <w:color w:val="000000"/>
          <w:sz w:val="24"/>
          <w:szCs w:val="24"/>
        </w:rPr>
      </w:pPr>
    </w:p>
    <w:p w14:paraId="099F5393"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Several nations not listed in </w:t>
      </w:r>
      <w:r w:rsidRPr="00E72B98">
        <w:rPr>
          <w:rFonts w:asciiTheme="majorHAnsi" w:hAnsiTheme="majorHAnsi"/>
          <w:b/>
          <w:color w:val="000000"/>
          <w:sz w:val="24"/>
          <w:szCs w:val="24"/>
        </w:rPr>
        <w:t>Attachment 1</w:t>
      </w:r>
      <w:r w:rsidRPr="00E72B98">
        <w:rPr>
          <w:rFonts w:asciiTheme="majorHAnsi" w:hAnsiTheme="majorHAnsi"/>
          <w:color w:val="000000"/>
          <w:sz w:val="24"/>
          <w:szCs w:val="24"/>
        </w:rPr>
        <w:t xml:space="preserve"> appear to have regimes in place or under consideration that may meet some or all of the criteria described previously. With additional clarifying information provided by an applicant, applicants from these nations (listed in </w:t>
      </w:r>
      <w:r w:rsidRPr="00E72B98">
        <w:rPr>
          <w:rFonts w:asciiTheme="majorHAnsi" w:hAnsiTheme="majorHAnsi"/>
          <w:b/>
          <w:color w:val="000000"/>
          <w:sz w:val="24"/>
          <w:szCs w:val="24"/>
        </w:rPr>
        <w:t>Attachment 2</w:t>
      </w:r>
      <w:r w:rsidRPr="00E72B98">
        <w:rPr>
          <w:rFonts w:asciiTheme="majorHAnsi" w:hAnsiTheme="majorHAnsi"/>
          <w:color w:val="000000"/>
          <w:sz w:val="24"/>
          <w:szCs w:val="24"/>
        </w:rPr>
        <w:t>) may move in to the list of nations with qualifying regimes.</w:t>
      </w:r>
    </w:p>
    <w:p w14:paraId="4055E181" w14:textId="77777777" w:rsidR="00AE767E" w:rsidRPr="00E72B98" w:rsidRDefault="00AE767E" w:rsidP="00AE767E">
      <w:pPr>
        <w:pStyle w:val="HTMLPreformatted"/>
        <w:rPr>
          <w:rFonts w:asciiTheme="majorHAnsi" w:hAnsiTheme="majorHAnsi"/>
          <w:color w:val="000000"/>
          <w:sz w:val="24"/>
          <w:szCs w:val="24"/>
        </w:rPr>
      </w:pPr>
    </w:p>
    <w:p w14:paraId="39B8E70F"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Registry Operator regularly draws on major publications &amp; compendiums of REIT regimes around the world, such as the EPRA Global REIT Survey, PWC Compare and Contrast: Worldwide Real Estate Investment Trust (REIT) Regimes; Ernst &amp; Young Global Real Estate Investment Trust Report, as well as its own policy research to maintain its list of global REIT regimes. The primary list is neither meant to be static nor dispositive in the event the applicant is able to demonstrate that the nation or company in question meets the core criteria. Because laws change from time to time, Registry Operator will update &amp; publish this list on a regular basis as applicable laws change or as circumstances otherwise warrant. </w:t>
      </w:r>
    </w:p>
    <w:p w14:paraId="0584F216" w14:textId="77777777" w:rsidR="00AE767E" w:rsidRPr="00E72B98" w:rsidRDefault="00AE767E" w:rsidP="00AE767E">
      <w:pPr>
        <w:pStyle w:val="HTMLPreformatted"/>
        <w:rPr>
          <w:rFonts w:asciiTheme="majorHAnsi" w:hAnsiTheme="majorHAnsi"/>
          <w:color w:val="000000"/>
          <w:sz w:val="24"/>
          <w:szCs w:val="24"/>
        </w:rPr>
      </w:pPr>
    </w:p>
    <w:p w14:paraId="5847DBFB"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The absence of a nation from either of the lists is not considered finally conclusive in the determination of whether the nation in which the applicant is domiciled has a REIT regime in place. Indeed, as noted above, Registry Operator shall consider any relevant information and documentation provided by an applicant and will also consider whether commercial investment-oriented indexes of publicly traded REITs and real estate companies around the world include the applicant as a REIT in its nation of domicile.</w:t>
      </w:r>
    </w:p>
    <w:p w14:paraId="57CF098B" w14:textId="77777777" w:rsidR="00AE767E" w:rsidRPr="00E72B98" w:rsidRDefault="00AE767E" w:rsidP="00AE767E">
      <w:pPr>
        <w:pStyle w:val="HTMLPreformatted"/>
        <w:rPr>
          <w:rFonts w:asciiTheme="majorHAnsi" w:hAnsiTheme="majorHAnsi"/>
          <w:color w:val="000000"/>
          <w:sz w:val="24"/>
          <w:szCs w:val="24"/>
        </w:rPr>
      </w:pPr>
    </w:p>
    <w:p w14:paraId="3CADFFC6" w14:textId="3E39BF89"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Registry Operator will next determine whether the applying entity is indeed organized or operating as a REIT, with an emphasis on verification by the applicant providing third-party documentation. Possible forms of documentation includ</w:t>
      </w:r>
      <w:r w:rsidR="00E72B98">
        <w:rPr>
          <w:rFonts w:asciiTheme="majorHAnsi" w:hAnsiTheme="majorHAnsi"/>
          <w:color w:val="000000"/>
          <w:sz w:val="24"/>
          <w:szCs w:val="24"/>
        </w:rPr>
        <w:t>e, but are not limited to: 1.</w:t>
      </w:r>
      <w:r w:rsidRPr="00E72B98">
        <w:rPr>
          <w:rFonts w:asciiTheme="majorHAnsi" w:hAnsiTheme="majorHAnsi"/>
          <w:color w:val="000000"/>
          <w:sz w:val="24"/>
          <w:szCs w:val="24"/>
        </w:rPr>
        <w:t xml:space="preserve"> Certified filings of the applicant with agencies of the relevant national government; or, 2. A letter written in English from independent outside counsel with REIT legal expertise. Registry Operator will not rely on easily manipulated verification information, including links to established websites or community-based email addresses belonging to applicants.</w:t>
      </w:r>
    </w:p>
    <w:p w14:paraId="7A3A2671" w14:textId="77777777" w:rsidR="00AE767E" w:rsidRPr="00E72B98" w:rsidRDefault="00AE767E" w:rsidP="00AE767E">
      <w:pPr>
        <w:pStyle w:val="HTMLPreformatted"/>
        <w:rPr>
          <w:rFonts w:asciiTheme="majorHAnsi" w:hAnsiTheme="majorHAnsi"/>
          <w:color w:val="000000"/>
          <w:sz w:val="24"/>
          <w:szCs w:val="24"/>
        </w:rPr>
      </w:pPr>
    </w:p>
    <w:p w14:paraId="23E1C340"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In addition, to accommodate REIT regimes when such documentation is not available, applicants shall have the opportunity to briefly describe their claim to REIT status, such as by providing an English-language copy of a relevant national law governing REITs or REIT-like entities along with documentation establishing the REIT’s compliance with that law, or any other indicia of qualification or operation as a REIT. Registry Operator shall reserve the right to require any applicant to provide further information or clarification regarding its request to register a domain name.</w:t>
      </w:r>
    </w:p>
    <w:p w14:paraId="270C2E04" w14:textId="77777777" w:rsidR="00AE767E" w:rsidRPr="00E72B98" w:rsidRDefault="00AE767E" w:rsidP="00AE767E">
      <w:pPr>
        <w:pStyle w:val="HTMLPreformatted"/>
        <w:rPr>
          <w:rFonts w:asciiTheme="majorHAnsi" w:hAnsiTheme="majorHAnsi"/>
          <w:color w:val="000000"/>
          <w:sz w:val="24"/>
          <w:szCs w:val="24"/>
        </w:rPr>
      </w:pPr>
    </w:p>
    <w:p w14:paraId="194E1909" w14:textId="03690412"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Registry Operator will review all requests from applicants internally, through a dedicated six-member Determination and Verification Team (“Team”) composed of Registry Operator</w:t>
      </w:r>
      <w:r w:rsidR="00E72B98">
        <w:rPr>
          <w:rFonts w:asciiTheme="majorHAnsi" w:hAnsiTheme="majorHAnsi"/>
          <w:color w:val="000000"/>
          <w:sz w:val="24"/>
          <w:szCs w:val="24"/>
        </w:rPr>
        <w:t>’</w:t>
      </w:r>
      <w:r w:rsidRPr="00E72B98">
        <w:rPr>
          <w:rFonts w:asciiTheme="majorHAnsi" w:hAnsiTheme="majorHAnsi"/>
          <w:color w:val="000000"/>
          <w:sz w:val="24"/>
          <w:szCs w:val="24"/>
        </w:rPr>
        <w:t xml:space="preserve">s: Executive Vice President and General Counsel; Senior Tax Counsel; Senior Vice President, Industry &amp; Member Affairs; Vice President, Investment Affairs &amp; Investor Education; Vice President, Operations; and, Industry Affairs Coordinator. As discussed further below, all eligibility determinations made by the Team are subject to reconsideration through the Eligibility Reconsideration Process administered by an independent board of global REIT community members. </w:t>
      </w:r>
    </w:p>
    <w:p w14:paraId="64232FFB" w14:textId="77777777" w:rsidR="00AE767E" w:rsidRPr="00E72B98" w:rsidRDefault="00AE767E" w:rsidP="00AE767E">
      <w:pPr>
        <w:pStyle w:val="HTMLPreformatted"/>
        <w:rPr>
          <w:rFonts w:asciiTheme="majorHAnsi" w:hAnsiTheme="majorHAnsi"/>
          <w:color w:val="000000"/>
          <w:sz w:val="24"/>
          <w:szCs w:val="24"/>
        </w:rPr>
      </w:pPr>
    </w:p>
    <w:p w14:paraId="34F4957D" w14:textId="77777777" w:rsidR="00AE767E" w:rsidRPr="00E72B98" w:rsidRDefault="00AE767E" w:rsidP="00AE767E">
      <w:pPr>
        <w:spacing w:before="100" w:beforeAutospacing="1" w:after="100" w:afterAutospacing="1"/>
        <w:rPr>
          <w:rFonts w:asciiTheme="majorHAnsi" w:hAnsiTheme="majorHAnsi"/>
          <w:b/>
          <w:sz w:val="24"/>
          <w:szCs w:val="24"/>
        </w:rPr>
      </w:pPr>
      <w:r w:rsidRPr="00E72B98">
        <w:rPr>
          <w:rFonts w:asciiTheme="majorHAnsi" w:hAnsiTheme="majorHAnsi"/>
          <w:b/>
          <w:sz w:val="24"/>
          <w:szCs w:val="24"/>
        </w:rPr>
        <w:t>Name Selection</w:t>
      </w:r>
    </w:p>
    <w:p w14:paraId="2617A611"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The purpose of the TLD will be to advance the interests of the global REIT community by providing information and services relating to REITs. Accordingly, with regard to name selection, Registry Operator will limit the registration of domain names in the TLD to the legal trade names of REITs, or the names by which REITs are commonly known, which may include acronyms, registered and common law trademarks, and exchange ticker symbols. Registry Operator’s name selection policy will tie in with its verification policy, such that any certified documentation required for community eligibility should also clearly display the applicant’s trade or commonly known name. Registry Operator may also require English-language copies of trademark registrations for name selection purposes or evidence of use in commerce, such as websites or marketing collateral.  </w:t>
      </w:r>
    </w:p>
    <w:p w14:paraId="744AA2DA" w14:textId="77777777" w:rsidR="00AE767E" w:rsidRPr="00E72B98" w:rsidRDefault="00AE767E" w:rsidP="00AE767E">
      <w:pPr>
        <w:pStyle w:val="HTMLPreformatted"/>
        <w:rPr>
          <w:rFonts w:asciiTheme="majorHAnsi" w:hAnsiTheme="majorHAnsi"/>
          <w:color w:val="000000"/>
          <w:sz w:val="24"/>
          <w:szCs w:val="24"/>
        </w:rPr>
      </w:pPr>
    </w:p>
    <w:p w14:paraId="6E568CBD"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Registry Operator will implement a policy that impose a continuing obligation on applicants to maintain their trade names or commonly known names concurrently with their domain name registration; and retain discretion as the sole arbiter of determining whether the applicant meets the naming criteria—subject only to the discretion of a dispute resolution provider under the Community Eligibility Dispute Resolution Procedure (“CEDRP”) described below—as well as the appropriate level of documentation necessary to substantiate the applicant’s claim. Initially, Registry Operator will prohibit registration of generic and descriptive terms relating to REITs on the second level that do not refer to the trade name of a specific REIT.</w:t>
      </w:r>
    </w:p>
    <w:p w14:paraId="09621F22" w14:textId="77777777" w:rsidR="00AE767E" w:rsidRPr="00E72B98" w:rsidRDefault="00AE767E" w:rsidP="00AE767E">
      <w:pPr>
        <w:pStyle w:val="HTMLPreformatted"/>
        <w:rPr>
          <w:rFonts w:asciiTheme="majorHAnsi" w:hAnsiTheme="majorHAnsi"/>
          <w:color w:val="000000"/>
          <w:sz w:val="24"/>
          <w:szCs w:val="24"/>
        </w:rPr>
      </w:pPr>
    </w:p>
    <w:p w14:paraId="14510131" w14:textId="77777777" w:rsidR="00AE767E" w:rsidRPr="00E72B98" w:rsidRDefault="00AE767E" w:rsidP="00AE767E">
      <w:pPr>
        <w:pStyle w:val="HTMLPreformatted"/>
        <w:rPr>
          <w:rFonts w:asciiTheme="majorHAnsi" w:hAnsiTheme="majorHAnsi"/>
          <w:b/>
          <w:sz w:val="24"/>
          <w:szCs w:val="24"/>
        </w:rPr>
      </w:pPr>
      <w:r w:rsidRPr="00E72B98">
        <w:rPr>
          <w:rFonts w:asciiTheme="majorHAnsi" w:hAnsiTheme="majorHAnsi"/>
          <w:b/>
          <w:sz w:val="24"/>
          <w:szCs w:val="24"/>
        </w:rPr>
        <w:t>Content/Use Restrictions</w:t>
      </w:r>
    </w:p>
    <w:p w14:paraId="02A7843B" w14:textId="77777777" w:rsidR="00AE767E" w:rsidRPr="00E72B98" w:rsidRDefault="00AE767E" w:rsidP="00AE767E">
      <w:pPr>
        <w:pStyle w:val="HTMLPreformatted"/>
        <w:rPr>
          <w:rFonts w:asciiTheme="majorHAnsi" w:hAnsiTheme="majorHAnsi"/>
          <w:color w:val="000000"/>
          <w:sz w:val="24"/>
          <w:szCs w:val="24"/>
        </w:rPr>
      </w:pPr>
    </w:p>
    <w:p w14:paraId="6F886D39"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The TLD shall be used for the benefit of the community. All domain names must serve the needs of the REIT community, and can be cancelled if they do not. Serving the needs of the REIT community shall include providing information about or offering services relating to a registrant’s REIT. Thus, the TLD will ensure its integrity and purpose as an authorized source of REIT-related information and services for investors, media, interested members of the public, or people who use the services of REITs- such as tenants of REIT properties.  </w:t>
      </w:r>
    </w:p>
    <w:p w14:paraId="5FD320D7" w14:textId="77777777" w:rsidR="00AE767E" w:rsidRPr="00E72B98" w:rsidRDefault="00AE767E" w:rsidP="00AE767E">
      <w:pPr>
        <w:pStyle w:val="HTMLPreformatted"/>
        <w:rPr>
          <w:rFonts w:asciiTheme="majorHAnsi" w:hAnsiTheme="majorHAnsi"/>
          <w:color w:val="000000"/>
          <w:sz w:val="24"/>
          <w:szCs w:val="24"/>
        </w:rPr>
      </w:pPr>
    </w:p>
    <w:p w14:paraId="419FAFB2"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Registry Operator will bolster this general policy with an affirmative duty upon registrants to establish use of all domain names within one year of registration, which may include forwarding the domain name to an existing TLD that serves the needs of the REIT community. In addition, as part of the regular renewal process for domain names, registrants shall reaffirm current eligibility as a REIT and use in accordance within the TLD content and use policy.</w:t>
      </w:r>
    </w:p>
    <w:p w14:paraId="26242678" w14:textId="77777777" w:rsidR="00AE767E" w:rsidRPr="00E72B98" w:rsidRDefault="00AE767E" w:rsidP="00AE767E">
      <w:pPr>
        <w:rPr>
          <w:rFonts w:asciiTheme="majorHAnsi" w:eastAsia="Times New Roman" w:hAnsiTheme="majorHAnsi"/>
          <w:sz w:val="24"/>
          <w:szCs w:val="24"/>
          <w:lang w:eastAsia="en-US"/>
        </w:rPr>
      </w:pPr>
    </w:p>
    <w:p w14:paraId="53E48529" w14:textId="77777777" w:rsidR="00AE767E" w:rsidRPr="00E72B98" w:rsidRDefault="00AE767E" w:rsidP="00AE767E">
      <w:pPr>
        <w:spacing w:before="100" w:beforeAutospacing="1" w:after="100" w:afterAutospacing="1"/>
        <w:rPr>
          <w:rFonts w:asciiTheme="majorHAnsi" w:hAnsiTheme="majorHAnsi"/>
          <w:b/>
          <w:sz w:val="24"/>
          <w:szCs w:val="24"/>
        </w:rPr>
      </w:pPr>
      <w:r w:rsidRPr="00E72B98">
        <w:rPr>
          <w:rFonts w:asciiTheme="majorHAnsi" w:hAnsiTheme="majorHAnsi"/>
          <w:b/>
          <w:sz w:val="24"/>
          <w:szCs w:val="24"/>
        </w:rPr>
        <w:t>Enforcement</w:t>
      </w:r>
    </w:p>
    <w:p w14:paraId="00D55F3F"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Registry Operator will further delineate the particular uses that are not allowable- for example: unlawful activities, spamming, causing consumer confusion, or reselling the domain names- and prominently display links to such policies on the TLD domain name registration website. Registry Operator will also specifically prohibit registration of domain names “solely for the purpose of selling, trading or leasing the domain names for compensation.”  </w:t>
      </w:r>
    </w:p>
    <w:p w14:paraId="14B3B634" w14:textId="77777777" w:rsidR="00AE767E" w:rsidRPr="00E72B98" w:rsidRDefault="00AE767E" w:rsidP="00AE767E">
      <w:pPr>
        <w:pStyle w:val="HTMLPreformatted"/>
        <w:rPr>
          <w:rFonts w:asciiTheme="majorHAnsi" w:hAnsiTheme="majorHAnsi"/>
          <w:color w:val="000000"/>
          <w:sz w:val="24"/>
          <w:szCs w:val="24"/>
        </w:rPr>
      </w:pPr>
    </w:p>
    <w:p w14:paraId="4D6192DA" w14:textId="489076D1"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Registry </w:t>
      </w:r>
      <w:r w:rsidR="00E72B98" w:rsidRPr="00E72B98">
        <w:rPr>
          <w:rFonts w:asciiTheme="majorHAnsi" w:hAnsiTheme="majorHAnsi"/>
          <w:color w:val="000000"/>
          <w:sz w:val="24"/>
          <w:szCs w:val="24"/>
        </w:rPr>
        <w:t>Operator’s</w:t>
      </w:r>
      <w:r w:rsidRPr="00E72B98">
        <w:rPr>
          <w:rFonts w:asciiTheme="majorHAnsi" w:hAnsiTheme="majorHAnsi"/>
          <w:color w:val="000000"/>
          <w:sz w:val="24"/>
          <w:szCs w:val="24"/>
        </w:rPr>
        <w:t xml:space="preserve"> 6-member Team described above shall ensure continued compliance with Registry Operator</w:t>
      </w:r>
      <w:r w:rsidR="00E72B98">
        <w:rPr>
          <w:rFonts w:asciiTheme="majorHAnsi" w:hAnsiTheme="majorHAnsi"/>
          <w:color w:val="000000"/>
          <w:sz w:val="24"/>
          <w:szCs w:val="24"/>
        </w:rPr>
        <w:t>’</w:t>
      </w:r>
      <w:r w:rsidRPr="00E72B98">
        <w:rPr>
          <w:rFonts w:asciiTheme="majorHAnsi" w:hAnsiTheme="majorHAnsi"/>
          <w:color w:val="000000"/>
          <w:sz w:val="24"/>
          <w:szCs w:val="24"/>
        </w:rPr>
        <w:t xml:space="preserve">s eligibility, naming, content &amp; use policies through random audits of all registered domain names on a regular basis. In addition, Registry Operator will place a prominently displayed contact email on the TLD home page as a point of contact for this Team.  </w:t>
      </w:r>
    </w:p>
    <w:p w14:paraId="334B8FBF" w14:textId="77777777" w:rsidR="00AE767E" w:rsidRPr="00E72B98" w:rsidRDefault="00AE767E" w:rsidP="00AE767E">
      <w:pPr>
        <w:pStyle w:val="HTMLPreformatted"/>
        <w:rPr>
          <w:rFonts w:asciiTheme="majorHAnsi" w:hAnsiTheme="majorHAnsi"/>
          <w:color w:val="000000"/>
          <w:sz w:val="24"/>
          <w:szCs w:val="24"/>
        </w:rPr>
      </w:pPr>
    </w:p>
    <w:p w14:paraId="74D66CBF" w14:textId="77A2A7F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Registry Operator will adopt a modified version of the ICANN Charter Eligibility Dispute Resolution Procedure, called the “Community Eligibility Dispute Resolution Procedure” (“CEDRP”), and </w:t>
      </w:r>
      <w:r w:rsidR="00E72B98">
        <w:rPr>
          <w:rFonts w:asciiTheme="majorHAnsi" w:hAnsiTheme="majorHAnsi"/>
          <w:color w:val="000000"/>
          <w:sz w:val="24"/>
          <w:szCs w:val="24"/>
        </w:rPr>
        <w:t>Registry O</w:t>
      </w:r>
      <w:r w:rsidRPr="00E72B98">
        <w:rPr>
          <w:rFonts w:asciiTheme="majorHAnsi" w:hAnsiTheme="majorHAnsi"/>
          <w:color w:val="000000"/>
          <w:sz w:val="24"/>
          <w:szCs w:val="24"/>
        </w:rPr>
        <w:t>perator</w:t>
      </w:r>
      <w:r w:rsidR="00E72B98">
        <w:rPr>
          <w:rFonts w:asciiTheme="majorHAnsi" w:hAnsiTheme="majorHAnsi"/>
          <w:color w:val="000000"/>
          <w:sz w:val="24"/>
          <w:szCs w:val="24"/>
        </w:rPr>
        <w:t>’</w:t>
      </w:r>
      <w:r w:rsidRPr="00E72B98">
        <w:rPr>
          <w:rFonts w:asciiTheme="majorHAnsi" w:hAnsiTheme="majorHAnsi"/>
          <w:color w:val="000000"/>
          <w:sz w:val="24"/>
          <w:szCs w:val="24"/>
        </w:rPr>
        <w:t xml:space="preserve">s representatives are currently engaged in discussions with third party service providers to administer the CEDRP. Only slight modifications will be made to incorporate the eligibility policy above.  </w:t>
      </w:r>
    </w:p>
    <w:p w14:paraId="6116DDD6" w14:textId="77777777" w:rsidR="00AE767E" w:rsidRPr="00E72B98" w:rsidRDefault="00AE767E" w:rsidP="00AE767E">
      <w:pPr>
        <w:pStyle w:val="HTMLPreformatted"/>
        <w:rPr>
          <w:rFonts w:asciiTheme="majorHAnsi" w:hAnsiTheme="majorHAnsi"/>
          <w:color w:val="000000"/>
          <w:sz w:val="24"/>
          <w:szCs w:val="24"/>
        </w:rPr>
      </w:pPr>
    </w:p>
    <w:p w14:paraId="45493DB9"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Registry Operator will also adopt a robust Eligibility Reconsideration Policy (“ERP”) to ensure accountability of the TLD to the international REIT community through a reconsideration process of Registry Operator decisions that: </w:t>
      </w:r>
    </w:p>
    <w:p w14:paraId="25D1BA06" w14:textId="77777777" w:rsidR="00AE767E" w:rsidRPr="00E72B98" w:rsidRDefault="00AE767E" w:rsidP="00AE767E">
      <w:pPr>
        <w:pStyle w:val="HTMLPreformatted"/>
        <w:rPr>
          <w:rFonts w:asciiTheme="majorHAnsi" w:hAnsiTheme="majorHAnsi"/>
          <w:color w:val="000000"/>
          <w:sz w:val="24"/>
          <w:szCs w:val="24"/>
        </w:rPr>
      </w:pPr>
    </w:p>
    <w:p w14:paraId="79DA4D85"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1) </w:t>
      </w:r>
      <w:proofErr w:type="gramStart"/>
      <w:r w:rsidRPr="00E72B98">
        <w:rPr>
          <w:rFonts w:asciiTheme="majorHAnsi" w:hAnsiTheme="majorHAnsi"/>
          <w:color w:val="000000"/>
          <w:sz w:val="24"/>
          <w:szCs w:val="24"/>
        </w:rPr>
        <w:t>a</w:t>
      </w:r>
      <w:proofErr w:type="gramEnd"/>
      <w:r w:rsidRPr="00E72B98">
        <w:rPr>
          <w:rFonts w:asciiTheme="majorHAnsi" w:hAnsiTheme="majorHAnsi"/>
          <w:color w:val="000000"/>
          <w:sz w:val="24"/>
          <w:szCs w:val="24"/>
        </w:rPr>
        <w:t xml:space="preserve"> second level domain name applicant does not meet the eligibility requirements and so is not entitled to obtain a domain name; or, </w:t>
      </w:r>
    </w:p>
    <w:p w14:paraId="46DCE33F" w14:textId="77777777" w:rsidR="00AE767E" w:rsidRPr="00E72B98" w:rsidRDefault="00AE767E" w:rsidP="00AE767E">
      <w:pPr>
        <w:pStyle w:val="HTMLPreformatted"/>
        <w:rPr>
          <w:rFonts w:asciiTheme="majorHAnsi" w:hAnsiTheme="majorHAnsi"/>
          <w:color w:val="000000"/>
          <w:sz w:val="24"/>
          <w:szCs w:val="24"/>
        </w:rPr>
      </w:pPr>
      <w:r w:rsidRPr="00E72B98">
        <w:rPr>
          <w:rFonts w:asciiTheme="majorHAnsi" w:hAnsiTheme="majorHAnsi"/>
          <w:color w:val="000000"/>
          <w:sz w:val="24"/>
          <w:szCs w:val="24"/>
        </w:rPr>
        <w:t xml:space="preserve">2) </w:t>
      </w:r>
      <w:proofErr w:type="gramStart"/>
      <w:r w:rsidRPr="00E72B98">
        <w:rPr>
          <w:rFonts w:asciiTheme="majorHAnsi" w:hAnsiTheme="majorHAnsi"/>
          <w:color w:val="000000"/>
          <w:sz w:val="24"/>
          <w:szCs w:val="24"/>
        </w:rPr>
        <w:t>that</w:t>
      </w:r>
      <w:proofErr w:type="gramEnd"/>
      <w:r w:rsidRPr="00E72B98">
        <w:rPr>
          <w:rFonts w:asciiTheme="majorHAnsi" w:hAnsiTheme="majorHAnsi"/>
          <w:color w:val="000000"/>
          <w:sz w:val="24"/>
          <w:szCs w:val="24"/>
        </w:rPr>
        <w:t xml:space="preserve"> a registrant no longer meets the eligibility requirements and so its domain name is cancelled or transferred. The ERP shall be administered by a 7-member International Appeal Board that will be composed of REIT industry professionals representing expertise in: law relating to REITs; investment in REITs; accounting practices of REITs; and national or regional associations of REITs and real estate companies. All panelists will volunteer for rotating 2-year terms to be staggered for rotational purpose.</w:t>
      </w:r>
    </w:p>
    <w:p w14:paraId="2306D283" w14:textId="77777777" w:rsidR="00AE767E" w:rsidRPr="00E72B98" w:rsidRDefault="00AE767E" w:rsidP="00AE767E">
      <w:pPr>
        <w:pStyle w:val="HTMLPreformatted"/>
        <w:rPr>
          <w:rFonts w:asciiTheme="majorHAnsi" w:hAnsiTheme="majorHAnsi"/>
          <w:sz w:val="24"/>
          <w:szCs w:val="24"/>
        </w:rPr>
      </w:pPr>
    </w:p>
    <w:p w14:paraId="57C6B146" w14:textId="77777777" w:rsidR="00AE767E" w:rsidRPr="00E72B98" w:rsidRDefault="00AE767E" w:rsidP="00AE767E">
      <w:pPr>
        <w:rPr>
          <w:rFonts w:asciiTheme="majorHAnsi" w:hAnsiTheme="majorHAnsi"/>
          <w:b/>
          <w:sz w:val="24"/>
          <w:szCs w:val="24"/>
        </w:rPr>
      </w:pPr>
      <w:r w:rsidRPr="00E72B98">
        <w:rPr>
          <w:rFonts w:asciiTheme="majorHAnsi" w:hAnsiTheme="majorHAnsi"/>
          <w:b/>
          <w:sz w:val="24"/>
          <w:szCs w:val="24"/>
        </w:rPr>
        <w:t>Attachment 1</w:t>
      </w:r>
    </w:p>
    <w:p w14:paraId="7C8BA16B" w14:textId="77777777" w:rsidR="00AE767E" w:rsidRPr="00E72B98" w:rsidRDefault="00AE767E" w:rsidP="00AE767E">
      <w:pPr>
        <w:rPr>
          <w:rFonts w:asciiTheme="majorHAnsi" w:hAnsiTheme="majorHAnsi"/>
          <w:sz w:val="24"/>
          <w:szCs w:val="24"/>
        </w:rPr>
      </w:pPr>
    </w:p>
    <w:p w14:paraId="3F7AF662"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Australia</w:t>
      </w:r>
    </w:p>
    <w:p w14:paraId="4F965244"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Belgium</w:t>
      </w:r>
    </w:p>
    <w:p w14:paraId="13BC81A8"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 xml:space="preserve">Brazil (listed Fundo de </w:t>
      </w:r>
      <w:proofErr w:type="spellStart"/>
      <w:r w:rsidRPr="00E72B98">
        <w:rPr>
          <w:rFonts w:asciiTheme="majorHAnsi" w:hAnsiTheme="majorHAnsi"/>
          <w:sz w:val="24"/>
          <w:szCs w:val="24"/>
        </w:rPr>
        <w:t>Investimento</w:t>
      </w:r>
      <w:proofErr w:type="spellEnd"/>
      <w:r w:rsidRPr="00E72B98">
        <w:rPr>
          <w:rFonts w:asciiTheme="majorHAnsi" w:hAnsiTheme="majorHAnsi"/>
          <w:sz w:val="24"/>
          <w:szCs w:val="24"/>
        </w:rPr>
        <w:t xml:space="preserve"> </w:t>
      </w:r>
      <w:proofErr w:type="spellStart"/>
      <w:r w:rsidRPr="00E72B98">
        <w:rPr>
          <w:rFonts w:asciiTheme="majorHAnsi" w:hAnsiTheme="majorHAnsi"/>
          <w:sz w:val="24"/>
          <w:szCs w:val="24"/>
        </w:rPr>
        <w:t>Imobiliário</w:t>
      </w:r>
      <w:proofErr w:type="spellEnd"/>
      <w:r w:rsidRPr="00E72B98">
        <w:rPr>
          <w:rFonts w:asciiTheme="majorHAnsi" w:hAnsiTheme="majorHAnsi"/>
          <w:sz w:val="24"/>
          <w:szCs w:val="24"/>
        </w:rPr>
        <w:t xml:space="preserve"> (FIIs))</w:t>
      </w:r>
    </w:p>
    <w:p w14:paraId="03252ED4"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Bulgaria</w:t>
      </w:r>
    </w:p>
    <w:p w14:paraId="5069B304"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Canada</w:t>
      </w:r>
    </w:p>
    <w:p w14:paraId="35FB8323"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Finland</w:t>
      </w:r>
    </w:p>
    <w:p w14:paraId="4345E550"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France</w:t>
      </w:r>
    </w:p>
    <w:p w14:paraId="6A0A992A"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Germany</w:t>
      </w:r>
    </w:p>
    <w:p w14:paraId="09702D37"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Hong Kong</w:t>
      </w:r>
    </w:p>
    <w:p w14:paraId="1407C79C"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Israel</w:t>
      </w:r>
    </w:p>
    <w:p w14:paraId="5DC31A08"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Italy</w:t>
      </w:r>
    </w:p>
    <w:p w14:paraId="0CE2ADAF"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Japan (listed J-REITs)</w:t>
      </w:r>
    </w:p>
    <w:p w14:paraId="75CBDB23"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Malaysia (listed REITs)</w:t>
      </w:r>
    </w:p>
    <w:p w14:paraId="141FC622"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 xml:space="preserve">Mexico (listed </w:t>
      </w:r>
      <w:proofErr w:type="spellStart"/>
      <w:r w:rsidRPr="00E72B98">
        <w:rPr>
          <w:rFonts w:asciiTheme="majorHAnsi" w:hAnsiTheme="majorHAnsi"/>
          <w:sz w:val="24"/>
          <w:szCs w:val="24"/>
        </w:rPr>
        <w:t>Fideicomisos</w:t>
      </w:r>
      <w:proofErr w:type="spellEnd"/>
      <w:r w:rsidRPr="00E72B98">
        <w:rPr>
          <w:rFonts w:asciiTheme="majorHAnsi" w:hAnsiTheme="majorHAnsi"/>
          <w:sz w:val="24"/>
          <w:szCs w:val="24"/>
        </w:rPr>
        <w:t xml:space="preserve"> de </w:t>
      </w:r>
      <w:proofErr w:type="spellStart"/>
      <w:r w:rsidRPr="00E72B98">
        <w:rPr>
          <w:rFonts w:asciiTheme="majorHAnsi" w:hAnsiTheme="majorHAnsi"/>
          <w:sz w:val="24"/>
          <w:szCs w:val="24"/>
        </w:rPr>
        <w:t>Inversión</w:t>
      </w:r>
      <w:proofErr w:type="spellEnd"/>
      <w:r w:rsidRPr="00E72B98">
        <w:rPr>
          <w:rFonts w:asciiTheme="majorHAnsi" w:hAnsiTheme="majorHAnsi"/>
          <w:sz w:val="24"/>
          <w:szCs w:val="24"/>
        </w:rPr>
        <w:t xml:space="preserve"> de </w:t>
      </w:r>
      <w:proofErr w:type="spellStart"/>
      <w:r w:rsidRPr="00E72B98">
        <w:rPr>
          <w:rFonts w:asciiTheme="majorHAnsi" w:hAnsiTheme="majorHAnsi"/>
          <w:sz w:val="24"/>
          <w:szCs w:val="24"/>
        </w:rPr>
        <w:t>Bienes</w:t>
      </w:r>
      <w:proofErr w:type="spellEnd"/>
      <w:r w:rsidRPr="00E72B98">
        <w:rPr>
          <w:rFonts w:asciiTheme="majorHAnsi" w:hAnsiTheme="majorHAnsi"/>
          <w:sz w:val="24"/>
          <w:szCs w:val="24"/>
        </w:rPr>
        <w:t xml:space="preserve"> </w:t>
      </w:r>
      <w:proofErr w:type="spellStart"/>
      <w:r w:rsidRPr="00E72B98">
        <w:rPr>
          <w:rFonts w:asciiTheme="majorHAnsi" w:hAnsiTheme="majorHAnsi"/>
          <w:sz w:val="24"/>
          <w:szCs w:val="24"/>
        </w:rPr>
        <w:t>Raíces</w:t>
      </w:r>
      <w:proofErr w:type="spellEnd"/>
      <w:r w:rsidRPr="00E72B98">
        <w:rPr>
          <w:rFonts w:asciiTheme="majorHAnsi" w:hAnsiTheme="majorHAnsi"/>
          <w:sz w:val="24"/>
          <w:szCs w:val="24"/>
        </w:rPr>
        <w:t xml:space="preserve"> (FIBRAs))</w:t>
      </w:r>
    </w:p>
    <w:p w14:paraId="26068BDC"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 xml:space="preserve">Netherlands (listed </w:t>
      </w:r>
      <w:proofErr w:type="spellStart"/>
      <w:r w:rsidRPr="00E72B98">
        <w:rPr>
          <w:rFonts w:asciiTheme="majorHAnsi" w:hAnsiTheme="majorHAnsi"/>
          <w:sz w:val="24"/>
          <w:szCs w:val="24"/>
        </w:rPr>
        <w:t>iscale</w:t>
      </w:r>
      <w:proofErr w:type="spellEnd"/>
      <w:r w:rsidRPr="00E72B98">
        <w:rPr>
          <w:rFonts w:asciiTheme="majorHAnsi" w:hAnsiTheme="majorHAnsi"/>
          <w:sz w:val="24"/>
          <w:szCs w:val="24"/>
        </w:rPr>
        <w:t xml:space="preserve"> </w:t>
      </w:r>
      <w:proofErr w:type="spellStart"/>
      <w:r w:rsidRPr="00E72B98">
        <w:rPr>
          <w:rFonts w:asciiTheme="majorHAnsi" w:hAnsiTheme="majorHAnsi"/>
          <w:sz w:val="24"/>
          <w:szCs w:val="24"/>
        </w:rPr>
        <w:t>beleggingsinstellings</w:t>
      </w:r>
      <w:proofErr w:type="spellEnd"/>
      <w:r w:rsidRPr="00E72B98">
        <w:rPr>
          <w:rFonts w:asciiTheme="majorHAnsi" w:hAnsiTheme="majorHAnsi"/>
          <w:sz w:val="24"/>
          <w:szCs w:val="24"/>
        </w:rPr>
        <w:t xml:space="preserve"> (FBIs) the majority of whose assets include income producing real estate)</w:t>
      </w:r>
    </w:p>
    <w:p w14:paraId="029E75D5"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New Zealand (listed Portfolio Investment Entities)</w:t>
      </w:r>
    </w:p>
    <w:p w14:paraId="36F5471C" w14:textId="77777777" w:rsidR="00F45090" w:rsidRDefault="00F45090" w:rsidP="00F45090">
      <w:pPr>
        <w:rPr>
          <w:rFonts w:asciiTheme="majorHAnsi" w:hAnsiTheme="majorHAnsi"/>
          <w:sz w:val="24"/>
          <w:szCs w:val="24"/>
        </w:rPr>
      </w:pPr>
      <w:r w:rsidRPr="00E72B98">
        <w:rPr>
          <w:rFonts w:asciiTheme="majorHAnsi" w:hAnsiTheme="majorHAnsi"/>
          <w:sz w:val="24"/>
          <w:szCs w:val="24"/>
        </w:rPr>
        <w:t xml:space="preserve">Pakistan </w:t>
      </w:r>
    </w:p>
    <w:p w14:paraId="7AB5CE2B" w14:textId="77777777" w:rsidR="00F45090" w:rsidRDefault="00F45090" w:rsidP="00F45090">
      <w:pPr>
        <w:rPr>
          <w:rFonts w:asciiTheme="majorHAnsi" w:hAnsiTheme="majorHAnsi"/>
          <w:sz w:val="24"/>
          <w:szCs w:val="24"/>
        </w:rPr>
      </w:pPr>
      <w:r w:rsidRPr="00E72B98">
        <w:rPr>
          <w:rFonts w:asciiTheme="majorHAnsi" w:hAnsiTheme="majorHAnsi"/>
          <w:sz w:val="24"/>
          <w:szCs w:val="24"/>
        </w:rPr>
        <w:t xml:space="preserve">Philippines </w:t>
      </w:r>
    </w:p>
    <w:p w14:paraId="62BD7C33" w14:textId="77777777" w:rsidR="008C794F" w:rsidRDefault="00AE767E" w:rsidP="00AE767E">
      <w:pPr>
        <w:rPr>
          <w:rFonts w:asciiTheme="majorHAnsi" w:hAnsiTheme="majorHAnsi"/>
          <w:sz w:val="24"/>
          <w:szCs w:val="24"/>
        </w:rPr>
      </w:pPr>
      <w:r w:rsidRPr="00E72B98">
        <w:rPr>
          <w:rFonts w:asciiTheme="majorHAnsi" w:hAnsiTheme="majorHAnsi"/>
          <w:sz w:val="24"/>
          <w:szCs w:val="24"/>
        </w:rPr>
        <w:t xml:space="preserve">Singapore </w:t>
      </w:r>
    </w:p>
    <w:p w14:paraId="643044FF" w14:textId="1A529682" w:rsidR="00AE767E" w:rsidRPr="00E72B98" w:rsidRDefault="00AE767E" w:rsidP="00AE767E">
      <w:pPr>
        <w:rPr>
          <w:rFonts w:asciiTheme="majorHAnsi" w:hAnsiTheme="majorHAnsi"/>
          <w:sz w:val="24"/>
          <w:szCs w:val="24"/>
        </w:rPr>
      </w:pPr>
      <w:r w:rsidRPr="00E72B98">
        <w:rPr>
          <w:rFonts w:asciiTheme="majorHAnsi" w:hAnsiTheme="majorHAnsi"/>
          <w:sz w:val="24"/>
          <w:szCs w:val="24"/>
        </w:rPr>
        <w:t>South Africa (listed Property Unit Trusts (PUTs)</w:t>
      </w:r>
    </w:p>
    <w:p w14:paraId="2AD3CED1"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South Korea</w:t>
      </w:r>
    </w:p>
    <w:p w14:paraId="1AB1FC26" w14:textId="5FA8205C" w:rsidR="00AE767E" w:rsidRPr="00E72B98" w:rsidRDefault="00AE767E" w:rsidP="00AE767E">
      <w:pPr>
        <w:rPr>
          <w:rFonts w:asciiTheme="majorHAnsi" w:hAnsiTheme="majorHAnsi"/>
          <w:sz w:val="24"/>
          <w:szCs w:val="24"/>
        </w:rPr>
      </w:pPr>
      <w:r w:rsidRPr="00E72B98">
        <w:rPr>
          <w:rFonts w:asciiTheme="majorHAnsi" w:hAnsiTheme="majorHAnsi"/>
          <w:sz w:val="24"/>
          <w:szCs w:val="24"/>
        </w:rPr>
        <w:t>Taiwan</w:t>
      </w:r>
      <w:r w:rsidR="00E72B98">
        <w:rPr>
          <w:rFonts w:asciiTheme="majorHAnsi" w:hAnsiTheme="majorHAnsi"/>
          <w:sz w:val="24"/>
          <w:szCs w:val="24"/>
        </w:rPr>
        <w:t xml:space="preserve"> </w:t>
      </w:r>
      <w:r w:rsidRPr="00E72B98">
        <w:rPr>
          <w:rFonts w:asciiTheme="majorHAnsi" w:hAnsiTheme="majorHAnsi"/>
          <w:sz w:val="24"/>
          <w:szCs w:val="24"/>
        </w:rPr>
        <w:t xml:space="preserve">(listed Real Estate Asset Trusts (REATs)) </w:t>
      </w:r>
    </w:p>
    <w:p w14:paraId="3922F793"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United Kingdom</w:t>
      </w:r>
    </w:p>
    <w:p w14:paraId="2A47DD5B" w14:textId="77777777" w:rsidR="00F45090" w:rsidRDefault="00F45090" w:rsidP="00F45090">
      <w:pPr>
        <w:rPr>
          <w:rFonts w:asciiTheme="majorHAnsi" w:hAnsiTheme="majorHAnsi"/>
          <w:sz w:val="24"/>
          <w:szCs w:val="24"/>
        </w:rPr>
      </w:pPr>
      <w:r w:rsidRPr="00E72B98">
        <w:rPr>
          <w:rFonts w:asciiTheme="majorHAnsi" w:hAnsiTheme="majorHAnsi"/>
          <w:sz w:val="24"/>
          <w:szCs w:val="24"/>
        </w:rPr>
        <w:t>United States</w:t>
      </w:r>
    </w:p>
    <w:p w14:paraId="71EE9497" w14:textId="77777777" w:rsidR="00F45090" w:rsidRDefault="00F45090" w:rsidP="00F45090">
      <w:pPr>
        <w:rPr>
          <w:rFonts w:asciiTheme="majorHAnsi" w:hAnsiTheme="majorHAnsi"/>
          <w:sz w:val="24"/>
          <w:szCs w:val="24"/>
        </w:rPr>
      </w:pPr>
    </w:p>
    <w:p w14:paraId="68C760EF" w14:textId="77777777" w:rsidR="00F45090" w:rsidRPr="00E72B98" w:rsidRDefault="00F45090" w:rsidP="00F45090">
      <w:pPr>
        <w:rPr>
          <w:rFonts w:asciiTheme="majorHAnsi" w:hAnsiTheme="majorHAnsi"/>
          <w:sz w:val="24"/>
          <w:szCs w:val="24"/>
        </w:rPr>
      </w:pPr>
    </w:p>
    <w:p w14:paraId="13BE830B" w14:textId="77777777" w:rsidR="00AE767E" w:rsidRPr="00E72B98" w:rsidRDefault="00AE767E" w:rsidP="00AE767E">
      <w:pPr>
        <w:rPr>
          <w:rFonts w:asciiTheme="majorHAnsi" w:hAnsiTheme="majorHAnsi"/>
          <w:sz w:val="24"/>
          <w:szCs w:val="24"/>
        </w:rPr>
      </w:pPr>
    </w:p>
    <w:p w14:paraId="0EB5ED7A" w14:textId="77777777" w:rsidR="00AE767E" w:rsidRPr="00E72B98" w:rsidRDefault="00AE767E" w:rsidP="00AE767E">
      <w:pPr>
        <w:rPr>
          <w:rFonts w:asciiTheme="majorHAnsi" w:hAnsiTheme="majorHAnsi"/>
          <w:b/>
          <w:sz w:val="24"/>
          <w:szCs w:val="24"/>
        </w:rPr>
      </w:pPr>
      <w:r w:rsidRPr="00E72B98">
        <w:rPr>
          <w:rFonts w:asciiTheme="majorHAnsi" w:hAnsiTheme="majorHAnsi"/>
          <w:b/>
          <w:sz w:val="24"/>
          <w:szCs w:val="24"/>
        </w:rPr>
        <w:t>Attachment 2</w:t>
      </w:r>
    </w:p>
    <w:p w14:paraId="746428CD" w14:textId="77777777" w:rsidR="00AE767E" w:rsidRPr="00E72B98" w:rsidRDefault="00AE767E" w:rsidP="00AE767E">
      <w:pPr>
        <w:rPr>
          <w:rFonts w:asciiTheme="majorHAnsi" w:hAnsiTheme="majorHAnsi"/>
          <w:b/>
          <w:sz w:val="24"/>
          <w:szCs w:val="24"/>
        </w:rPr>
      </w:pPr>
    </w:p>
    <w:p w14:paraId="417E2540"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 xml:space="preserve">Brazil (other than listed Fundo de </w:t>
      </w:r>
      <w:proofErr w:type="spellStart"/>
      <w:r w:rsidRPr="00E72B98">
        <w:rPr>
          <w:rFonts w:asciiTheme="majorHAnsi" w:hAnsiTheme="majorHAnsi"/>
          <w:sz w:val="24"/>
          <w:szCs w:val="24"/>
        </w:rPr>
        <w:t>Investimento</w:t>
      </w:r>
      <w:proofErr w:type="spellEnd"/>
      <w:r w:rsidRPr="00E72B98">
        <w:rPr>
          <w:rFonts w:asciiTheme="majorHAnsi" w:hAnsiTheme="majorHAnsi"/>
          <w:sz w:val="24"/>
          <w:szCs w:val="24"/>
        </w:rPr>
        <w:t xml:space="preserve"> </w:t>
      </w:r>
      <w:proofErr w:type="spellStart"/>
      <w:r w:rsidRPr="00E72B98">
        <w:rPr>
          <w:rFonts w:asciiTheme="majorHAnsi" w:hAnsiTheme="majorHAnsi"/>
          <w:sz w:val="24"/>
          <w:szCs w:val="24"/>
        </w:rPr>
        <w:t>Imobiliário</w:t>
      </w:r>
      <w:proofErr w:type="spellEnd"/>
      <w:r w:rsidRPr="00E72B98">
        <w:rPr>
          <w:rFonts w:asciiTheme="majorHAnsi" w:hAnsiTheme="majorHAnsi"/>
          <w:sz w:val="24"/>
          <w:szCs w:val="24"/>
        </w:rPr>
        <w:t xml:space="preserve"> (FIIs))</w:t>
      </w:r>
    </w:p>
    <w:p w14:paraId="500F38AA"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Chile</w:t>
      </w:r>
    </w:p>
    <w:p w14:paraId="3D65280A"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Costa Rica</w:t>
      </w:r>
    </w:p>
    <w:p w14:paraId="711F8997"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Dubai</w:t>
      </w:r>
    </w:p>
    <w:p w14:paraId="4653E337"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Greece</w:t>
      </w:r>
    </w:p>
    <w:p w14:paraId="1893EA5E"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India</w:t>
      </w:r>
    </w:p>
    <w:p w14:paraId="03E26791"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Japan (other than listed J-REITs)</w:t>
      </w:r>
    </w:p>
    <w:p w14:paraId="61EE66A8"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Lithuania</w:t>
      </w:r>
    </w:p>
    <w:p w14:paraId="5A96DD68"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Luxembourg</w:t>
      </w:r>
    </w:p>
    <w:p w14:paraId="360F552D"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Malaysia (other than listed REITs)</w:t>
      </w:r>
    </w:p>
    <w:p w14:paraId="0543772B"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 xml:space="preserve">Mexico (other than listed </w:t>
      </w:r>
      <w:proofErr w:type="spellStart"/>
      <w:r w:rsidRPr="00E72B98">
        <w:rPr>
          <w:rFonts w:asciiTheme="majorHAnsi" w:hAnsiTheme="majorHAnsi"/>
          <w:sz w:val="24"/>
          <w:szCs w:val="24"/>
        </w:rPr>
        <w:t>Fideicomisos</w:t>
      </w:r>
      <w:proofErr w:type="spellEnd"/>
      <w:r w:rsidRPr="00E72B98">
        <w:rPr>
          <w:rFonts w:asciiTheme="majorHAnsi" w:hAnsiTheme="majorHAnsi"/>
          <w:sz w:val="24"/>
          <w:szCs w:val="24"/>
        </w:rPr>
        <w:t xml:space="preserve"> de </w:t>
      </w:r>
      <w:proofErr w:type="spellStart"/>
      <w:r w:rsidRPr="00E72B98">
        <w:rPr>
          <w:rFonts w:asciiTheme="majorHAnsi" w:hAnsiTheme="majorHAnsi"/>
          <w:sz w:val="24"/>
          <w:szCs w:val="24"/>
        </w:rPr>
        <w:t>Inversión</w:t>
      </w:r>
      <w:proofErr w:type="spellEnd"/>
      <w:r w:rsidRPr="00E72B98">
        <w:rPr>
          <w:rFonts w:asciiTheme="majorHAnsi" w:hAnsiTheme="majorHAnsi"/>
          <w:sz w:val="24"/>
          <w:szCs w:val="24"/>
        </w:rPr>
        <w:t xml:space="preserve"> de </w:t>
      </w:r>
      <w:proofErr w:type="spellStart"/>
      <w:r w:rsidRPr="00E72B98">
        <w:rPr>
          <w:rFonts w:asciiTheme="majorHAnsi" w:hAnsiTheme="majorHAnsi"/>
          <w:sz w:val="24"/>
          <w:szCs w:val="24"/>
        </w:rPr>
        <w:t>Bienes</w:t>
      </w:r>
      <w:proofErr w:type="spellEnd"/>
      <w:r w:rsidRPr="00E72B98">
        <w:rPr>
          <w:rFonts w:asciiTheme="majorHAnsi" w:hAnsiTheme="majorHAnsi"/>
          <w:sz w:val="24"/>
          <w:szCs w:val="24"/>
        </w:rPr>
        <w:t xml:space="preserve"> </w:t>
      </w:r>
      <w:proofErr w:type="spellStart"/>
      <w:r w:rsidRPr="00E72B98">
        <w:rPr>
          <w:rFonts w:asciiTheme="majorHAnsi" w:hAnsiTheme="majorHAnsi"/>
          <w:sz w:val="24"/>
          <w:szCs w:val="24"/>
        </w:rPr>
        <w:t>Raíces</w:t>
      </w:r>
      <w:proofErr w:type="spellEnd"/>
      <w:r w:rsidRPr="00E72B98">
        <w:rPr>
          <w:rFonts w:asciiTheme="majorHAnsi" w:hAnsiTheme="majorHAnsi"/>
          <w:sz w:val="24"/>
          <w:szCs w:val="24"/>
        </w:rPr>
        <w:t xml:space="preserve"> (FIBRAs))</w:t>
      </w:r>
    </w:p>
    <w:p w14:paraId="7FAC00E7"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 xml:space="preserve">Netherlands (other than listed </w:t>
      </w:r>
      <w:proofErr w:type="spellStart"/>
      <w:r w:rsidRPr="00E72B98">
        <w:rPr>
          <w:rFonts w:asciiTheme="majorHAnsi" w:hAnsiTheme="majorHAnsi"/>
          <w:sz w:val="24"/>
          <w:szCs w:val="24"/>
        </w:rPr>
        <w:t>iscale</w:t>
      </w:r>
      <w:proofErr w:type="spellEnd"/>
      <w:r w:rsidRPr="00E72B98">
        <w:rPr>
          <w:rFonts w:asciiTheme="majorHAnsi" w:hAnsiTheme="majorHAnsi"/>
          <w:sz w:val="24"/>
          <w:szCs w:val="24"/>
        </w:rPr>
        <w:t xml:space="preserve"> </w:t>
      </w:r>
      <w:proofErr w:type="spellStart"/>
      <w:r w:rsidRPr="00E72B98">
        <w:rPr>
          <w:rFonts w:asciiTheme="majorHAnsi" w:hAnsiTheme="majorHAnsi"/>
          <w:sz w:val="24"/>
          <w:szCs w:val="24"/>
        </w:rPr>
        <w:t>beleggingsinstellings</w:t>
      </w:r>
      <w:proofErr w:type="spellEnd"/>
      <w:r w:rsidRPr="00E72B98">
        <w:rPr>
          <w:rFonts w:asciiTheme="majorHAnsi" w:hAnsiTheme="majorHAnsi"/>
          <w:sz w:val="24"/>
          <w:szCs w:val="24"/>
        </w:rPr>
        <w:t xml:space="preserve"> (FBIs))</w:t>
      </w:r>
    </w:p>
    <w:p w14:paraId="489BB346" w14:textId="18395834" w:rsidR="00F45090" w:rsidRPr="00F45090" w:rsidRDefault="00F45090" w:rsidP="00F45090">
      <w:pPr>
        <w:rPr>
          <w:rFonts w:asciiTheme="majorHAnsi" w:hAnsiTheme="majorHAnsi"/>
          <w:sz w:val="24"/>
          <w:szCs w:val="24"/>
        </w:rPr>
      </w:pPr>
      <w:r w:rsidRPr="00E72B98">
        <w:rPr>
          <w:rFonts w:asciiTheme="majorHAnsi" w:hAnsiTheme="majorHAnsi"/>
          <w:sz w:val="24"/>
          <w:szCs w:val="24"/>
        </w:rPr>
        <w:t>New Zealand (other than Listed Portfolio Investment Entities)</w:t>
      </w:r>
    </w:p>
    <w:p w14:paraId="083F5B9B"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Spain</w:t>
      </w:r>
    </w:p>
    <w:p w14:paraId="01A9F884" w14:textId="77777777" w:rsidR="00AE767E" w:rsidRPr="00E72B98" w:rsidRDefault="00AE767E" w:rsidP="00AE767E">
      <w:pPr>
        <w:rPr>
          <w:rFonts w:asciiTheme="majorHAnsi" w:hAnsiTheme="majorHAnsi"/>
          <w:sz w:val="24"/>
          <w:szCs w:val="24"/>
        </w:rPr>
      </w:pPr>
      <w:r w:rsidRPr="00E72B98">
        <w:rPr>
          <w:rFonts w:asciiTheme="majorHAnsi" w:hAnsiTheme="majorHAnsi"/>
          <w:sz w:val="24"/>
          <w:szCs w:val="24"/>
        </w:rPr>
        <w:t>Taiwan (other than listed Real Estate Asset Trusts (REATs))</w:t>
      </w:r>
    </w:p>
    <w:p w14:paraId="489CF1DE" w14:textId="77777777" w:rsidR="00F45090" w:rsidRPr="00E72B98" w:rsidRDefault="00F45090" w:rsidP="00F45090">
      <w:pPr>
        <w:rPr>
          <w:rFonts w:asciiTheme="majorHAnsi" w:hAnsiTheme="majorHAnsi"/>
          <w:sz w:val="24"/>
          <w:szCs w:val="24"/>
        </w:rPr>
      </w:pPr>
      <w:r w:rsidRPr="00E72B98">
        <w:rPr>
          <w:rFonts w:asciiTheme="majorHAnsi" w:hAnsiTheme="majorHAnsi"/>
          <w:sz w:val="24"/>
          <w:szCs w:val="24"/>
        </w:rPr>
        <w:t>Thailand</w:t>
      </w:r>
    </w:p>
    <w:p w14:paraId="70AFA40F" w14:textId="4FEE4116" w:rsidR="00AE767E" w:rsidRPr="00E72B98" w:rsidRDefault="00AE767E" w:rsidP="00AE767E">
      <w:pPr>
        <w:rPr>
          <w:rFonts w:asciiTheme="majorHAnsi" w:hAnsiTheme="majorHAnsi"/>
          <w:sz w:val="24"/>
          <w:szCs w:val="24"/>
        </w:rPr>
      </w:pPr>
      <w:r w:rsidRPr="00E72B98">
        <w:rPr>
          <w:rFonts w:asciiTheme="majorHAnsi" w:hAnsiTheme="majorHAnsi"/>
          <w:sz w:val="24"/>
          <w:szCs w:val="24"/>
        </w:rPr>
        <w:t>Turkey</w:t>
      </w:r>
    </w:p>
    <w:p w14:paraId="557222A0" w14:textId="77777777" w:rsidR="00663551" w:rsidRPr="00E72B98" w:rsidRDefault="00663551" w:rsidP="00663551">
      <w:pPr>
        <w:rPr>
          <w:rFonts w:asciiTheme="majorHAnsi" w:hAnsiTheme="majorHAnsi"/>
          <w:sz w:val="24"/>
          <w:szCs w:val="24"/>
        </w:rPr>
      </w:pPr>
    </w:p>
    <w:p w14:paraId="42D1908A" w14:textId="178A46B0" w:rsidR="00115B11" w:rsidRPr="00E72B98" w:rsidRDefault="00115B11" w:rsidP="00663551">
      <w:pPr>
        <w:spacing w:before="100" w:beforeAutospacing="1" w:after="100" w:afterAutospacing="1"/>
        <w:rPr>
          <w:rFonts w:asciiTheme="majorHAnsi" w:hAnsiTheme="majorHAnsi"/>
          <w:sz w:val="24"/>
          <w:szCs w:val="24"/>
        </w:rPr>
      </w:pPr>
    </w:p>
    <w:sectPr w:rsidR="00115B11" w:rsidRPr="00E72B98">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895447" w:rsidRDefault="00895447">
      <w:pPr>
        <w:pStyle w:val="Footer"/>
      </w:pPr>
    </w:p>
  </w:endnote>
  <w:endnote w:type="continuationSeparator" w:id="0">
    <w:p w14:paraId="67A6DD6C" w14:textId="77777777" w:rsidR="00895447" w:rsidRDefault="0089544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69D39E8"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486D95">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486D95">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486D95">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486D95">
      <w:rPr>
        <w:noProof/>
      </w:rPr>
      <w:t>95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486D95">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86D95">
      <w:rPr>
        <w:noProof/>
      </w:rPr>
      <w:t>34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486D9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486D95">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486D95">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486D95">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486D95">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486D95">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486D95">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895447" w:rsidRDefault="00895447">
      <w:r>
        <w:separator/>
      </w:r>
    </w:p>
  </w:footnote>
  <w:footnote w:type="continuationSeparator" w:id="0">
    <w:p w14:paraId="189A43B6" w14:textId="77777777" w:rsidR="00895447" w:rsidRDefault="00895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895447" w:rsidRPr="00196B78" w:rsidRDefault="00895447"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895447" w:rsidRDefault="0089544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895447" w:rsidRDefault="00895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895447" w:rsidRDefault="008954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9">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7">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23"/>
  </w:num>
  <w:num w:numId="13">
    <w:abstractNumId w:val="14"/>
  </w:num>
  <w:num w:numId="14">
    <w:abstractNumId w:val="18"/>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2"/>
  </w:num>
  <w:num w:numId="18">
    <w:abstractNumId w:val="16"/>
  </w:num>
  <w:num w:numId="19">
    <w:abstractNumId w:val="30"/>
  </w:num>
  <w:num w:numId="20">
    <w:abstractNumId w:val="11"/>
  </w:num>
  <w:num w:numId="21">
    <w:abstractNumId w:val="10"/>
  </w:num>
  <w:num w:numId="22">
    <w:abstractNumId w:val="24"/>
  </w:num>
  <w:num w:numId="23">
    <w:abstractNumId w:val="31"/>
  </w:num>
  <w:num w:numId="24">
    <w:abstractNumId w:val="38"/>
  </w:num>
  <w:num w:numId="25">
    <w:abstractNumId w:val="33"/>
  </w:num>
  <w:num w:numId="26">
    <w:abstractNumId w:val="19"/>
  </w:num>
  <w:num w:numId="27">
    <w:abstractNumId w:val="17"/>
  </w:num>
  <w:num w:numId="28">
    <w:abstractNumId w:val="25"/>
  </w:num>
  <w:num w:numId="29">
    <w:abstractNumId w:val="12"/>
  </w:num>
  <w:num w:numId="30">
    <w:abstractNumId w:val="28"/>
  </w:num>
  <w:num w:numId="31">
    <w:abstractNumId w:val="29"/>
  </w:num>
  <w:num w:numId="32">
    <w:abstractNumId w:val="13"/>
  </w:num>
  <w:num w:numId="33">
    <w:abstractNumId w:val="34"/>
  </w:num>
  <w:num w:numId="34">
    <w:abstractNumId w:val="27"/>
  </w:num>
  <w:num w:numId="35">
    <w:abstractNumId w:val="20"/>
  </w:num>
  <w:num w:numId="36">
    <w:abstractNumId w:val="22"/>
  </w:num>
  <w:num w:numId="37">
    <w:abstractNumId w:val="26"/>
  </w:num>
  <w:num w:numId="38">
    <w:abstractNumId w:val="37"/>
  </w:num>
  <w:num w:numId="39">
    <w:abstractNumId w:val="35"/>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vS62eaoePhIXItQsi/sJVnGBP3s=" w:salt="Floxoe+Zo4p8r3THZW7hZ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81377"/>
    <w:rsid w:val="00081ADD"/>
    <w:rsid w:val="00090532"/>
    <w:rsid w:val="000A6299"/>
    <w:rsid w:val="000B4935"/>
    <w:rsid w:val="000D3685"/>
    <w:rsid w:val="000E1BAF"/>
    <w:rsid w:val="000F4152"/>
    <w:rsid w:val="001027C7"/>
    <w:rsid w:val="001032F8"/>
    <w:rsid w:val="00113472"/>
    <w:rsid w:val="001141B8"/>
    <w:rsid w:val="00115B11"/>
    <w:rsid w:val="00116751"/>
    <w:rsid w:val="0011686F"/>
    <w:rsid w:val="001260A6"/>
    <w:rsid w:val="001507D4"/>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12D23"/>
    <w:rsid w:val="00216511"/>
    <w:rsid w:val="00222FBB"/>
    <w:rsid w:val="00237CA6"/>
    <w:rsid w:val="00245175"/>
    <w:rsid w:val="00252400"/>
    <w:rsid w:val="00260FB1"/>
    <w:rsid w:val="0027428A"/>
    <w:rsid w:val="002863DA"/>
    <w:rsid w:val="002A1D59"/>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46A20"/>
    <w:rsid w:val="0047238F"/>
    <w:rsid w:val="00473C99"/>
    <w:rsid w:val="00486D95"/>
    <w:rsid w:val="0049707E"/>
    <w:rsid w:val="00497BD6"/>
    <w:rsid w:val="004A45C6"/>
    <w:rsid w:val="004B0653"/>
    <w:rsid w:val="004D099E"/>
    <w:rsid w:val="004D2907"/>
    <w:rsid w:val="004D3240"/>
    <w:rsid w:val="004E6B60"/>
    <w:rsid w:val="004F6932"/>
    <w:rsid w:val="005014EC"/>
    <w:rsid w:val="00503D6A"/>
    <w:rsid w:val="00521A25"/>
    <w:rsid w:val="00524974"/>
    <w:rsid w:val="00526545"/>
    <w:rsid w:val="005332B6"/>
    <w:rsid w:val="005369CB"/>
    <w:rsid w:val="00550AB1"/>
    <w:rsid w:val="00563A93"/>
    <w:rsid w:val="0057179C"/>
    <w:rsid w:val="005B3477"/>
    <w:rsid w:val="005B51C0"/>
    <w:rsid w:val="005D2A6F"/>
    <w:rsid w:val="005D32B4"/>
    <w:rsid w:val="005E359C"/>
    <w:rsid w:val="005E77C7"/>
    <w:rsid w:val="00604C16"/>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E03D9"/>
    <w:rsid w:val="006E3575"/>
    <w:rsid w:val="006E3F1A"/>
    <w:rsid w:val="006E514B"/>
    <w:rsid w:val="006F225E"/>
    <w:rsid w:val="00737E2D"/>
    <w:rsid w:val="00741B4A"/>
    <w:rsid w:val="00744047"/>
    <w:rsid w:val="00755475"/>
    <w:rsid w:val="00781525"/>
    <w:rsid w:val="007A5548"/>
    <w:rsid w:val="007A729A"/>
    <w:rsid w:val="007B0099"/>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95447"/>
    <w:rsid w:val="008A0641"/>
    <w:rsid w:val="008C28FD"/>
    <w:rsid w:val="008C794F"/>
    <w:rsid w:val="008D246B"/>
    <w:rsid w:val="008D52DC"/>
    <w:rsid w:val="009047FD"/>
    <w:rsid w:val="00906238"/>
    <w:rsid w:val="00911CB4"/>
    <w:rsid w:val="00913888"/>
    <w:rsid w:val="00916F65"/>
    <w:rsid w:val="00921A01"/>
    <w:rsid w:val="00925998"/>
    <w:rsid w:val="00934DEB"/>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84F95"/>
    <w:rsid w:val="00A95556"/>
    <w:rsid w:val="00AA2AAA"/>
    <w:rsid w:val="00AA6C8C"/>
    <w:rsid w:val="00AB023D"/>
    <w:rsid w:val="00AE03BC"/>
    <w:rsid w:val="00AE767E"/>
    <w:rsid w:val="00AF450B"/>
    <w:rsid w:val="00B06075"/>
    <w:rsid w:val="00B102EA"/>
    <w:rsid w:val="00B121BB"/>
    <w:rsid w:val="00B30B6E"/>
    <w:rsid w:val="00B41367"/>
    <w:rsid w:val="00B4268D"/>
    <w:rsid w:val="00B526A7"/>
    <w:rsid w:val="00B615D3"/>
    <w:rsid w:val="00B651C0"/>
    <w:rsid w:val="00B8520C"/>
    <w:rsid w:val="00B85F7D"/>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403F0"/>
    <w:rsid w:val="00C4778C"/>
    <w:rsid w:val="00C515A6"/>
    <w:rsid w:val="00C805FD"/>
    <w:rsid w:val="00C855A9"/>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687D"/>
    <w:rsid w:val="00DD6905"/>
    <w:rsid w:val="00E02F2A"/>
    <w:rsid w:val="00E1020A"/>
    <w:rsid w:val="00E17C76"/>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6538"/>
    <w:rsid w:val="00F91324"/>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1.xml"/><Relationship Id="rId36"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34767</Words>
  <Characters>198175</Characters>
  <Application>Microsoft Office Word</Application>
  <DocSecurity>8</DocSecurity>
  <Lines>1651</Lines>
  <Paragraphs>464</Paragraphs>
  <ScaleCrop>false</ScaleCrop>
  <Manager/>
  <Company/>
  <LinksUpToDate>false</LinksUpToDate>
  <CharactersWithSpaces>232478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2014-08-26T17:34:00Z</dcterms:created>
  <dcterms:modified xsi:type="dcterms:W3CDTF">2014-08-26T17:34:00Z</dcterms:modified>
  <cp:contentStatus/>
</cp:coreProperties>
</file>