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611195C3"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7F0922">
        <w:rPr>
          <w:rFonts w:asciiTheme="majorHAnsi" w:hAnsiTheme="majorHAnsi"/>
          <w:sz w:val="24"/>
          <w:szCs w:val="24"/>
        </w:rPr>
        <w:t>Rise Victory Limited</w:t>
      </w:r>
      <w:r w:rsidR="00A01BAD">
        <w:rPr>
          <w:rFonts w:asciiTheme="majorHAnsi" w:hAnsiTheme="majorHAnsi"/>
          <w:sz w:val="24"/>
          <w:szCs w:val="24"/>
        </w:rPr>
        <w:t xml:space="preserve">, </w:t>
      </w:r>
      <w:r w:rsidR="004520B6">
        <w:rPr>
          <w:rFonts w:asciiTheme="majorHAnsi" w:hAnsiTheme="majorHAnsi"/>
          <w:sz w:val="24"/>
          <w:szCs w:val="24"/>
        </w:rPr>
        <w:t xml:space="preserve">a </w:t>
      </w:r>
      <w:r w:rsidR="00260BF8">
        <w:rPr>
          <w:rFonts w:asciiTheme="majorHAnsi" w:hAnsiTheme="majorHAnsi"/>
          <w:sz w:val="24"/>
          <w:szCs w:val="24"/>
        </w:rPr>
        <w:t xml:space="preserve">private limited </w:t>
      </w:r>
      <w:r w:rsidR="004862ED">
        <w:rPr>
          <w:rFonts w:asciiTheme="majorHAnsi" w:hAnsiTheme="majorHAnsi"/>
          <w:sz w:val="24"/>
          <w:szCs w:val="24"/>
        </w:rPr>
        <w:t xml:space="preserve">company formed under the laws of </w:t>
      </w:r>
      <w:r w:rsidR="00260BF8">
        <w:rPr>
          <w:rFonts w:asciiTheme="majorHAnsi" w:hAnsiTheme="majorHAnsi"/>
          <w:sz w:val="24"/>
          <w:szCs w:val="24"/>
        </w:rPr>
        <w:t>Hong Kong</w:t>
      </w:r>
      <w:r w:rsidR="004520B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2C1A37DC"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proofErr w:type="spellStart"/>
      <w:r w:rsidR="007F0922" w:rsidRPr="007F0922">
        <w:rPr>
          <w:rFonts w:asciiTheme="majorHAnsi" w:eastAsia="DFKai-SB" w:hAnsiTheme="majorHAnsi" w:cs="Helvetica"/>
          <w:b/>
          <w:color w:val="505050"/>
          <w:szCs w:val="24"/>
        </w:rPr>
        <w:t>xn</w:t>
      </w:r>
      <w:proofErr w:type="spellEnd"/>
      <w:r w:rsidR="007F0922" w:rsidRPr="007F0922">
        <w:rPr>
          <w:rFonts w:asciiTheme="majorHAnsi" w:eastAsia="DFKai-SB" w:hAnsiTheme="majorHAnsi" w:cs="Helvetica"/>
          <w:b/>
          <w:color w:val="505050"/>
          <w:szCs w:val="24"/>
        </w:rPr>
        <w:t>--9et52u</w:t>
      </w:r>
      <w:r w:rsidR="007F0922" w:rsidRPr="0046082C">
        <w:rPr>
          <w:rFonts w:asciiTheme="majorHAnsi" w:hAnsiTheme="majorHAnsi"/>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w:t>
      </w:r>
      <w:proofErr w:type="gramStart"/>
      <w:r>
        <w:rPr>
          <w:rFonts w:asciiTheme="majorHAnsi" w:hAnsiTheme="majorHAnsi"/>
          <w:szCs w:val="24"/>
        </w:rPr>
        <w:t>)(</w:t>
      </w:r>
      <w:proofErr w:type="gramEnd"/>
      <w:r>
        <w:rPr>
          <w:rFonts w:asciiTheme="majorHAnsi" w:hAnsiTheme="majorHAnsi"/>
          <w:szCs w:val="24"/>
        </w:rPr>
        <w:t>i) through 7.6(f)(iii).  The ability of the ICANN Board of Directors to reject an Alternative Amendment hereunder does not relieve the Board of the obligation to ensure that any Board Amendment meets the criteria set forth in Section 7.6(e</w:t>
      </w:r>
      <w:proofErr w:type="gramStart"/>
      <w:r>
        <w:rPr>
          <w:rFonts w:asciiTheme="majorHAnsi" w:hAnsiTheme="majorHAnsi"/>
          <w:szCs w:val="24"/>
        </w:rPr>
        <w:t>)(</w:t>
      </w:r>
      <w:proofErr w:type="gramEnd"/>
      <w:r>
        <w:rPr>
          <w:rFonts w:asciiTheme="majorHAnsi" w:hAnsiTheme="majorHAnsi"/>
          <w:szCs w:val="24"/>
        </w:rPr>
        <w:t>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w:t>
      </w:r>
      <w:proofErr w:type="gramStart"/>
      <w:r>
        <w:rPr>
          <w:rFonts w:asciiTheme="majorHAnsi" w:hAnsiTheme="majorHAnsi"/>
          <w:szCs w:val="24"/>
        </w:rPr>
        <w:t>discretion, that</w:t>
      </w:r>
      <w:proofErr w:type="gramEnd"/>
      <w:r>
        <w:rPr>
          <w:rFonts w:asciiTheme="majorHAnsi" w:hAnsiTheme="majorHAnsi"/>
          <w:szCs w:val="24"/>
        </w:rPr>
        <w:t xml:space="preserve">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w:t>
      </w:r>
      <w:proofErr w:type="gramStart"/>
      <w:r>
        <w:rPr>
          <w:rFonts w:asciiTheme="majorHAnsi" w:hAnsiTheme="majorHAnsi"/>
          <w:szCs w:val="24"/>
        </w:rPr>
        <w:t>Revisions,</w:t>
      </w:r>
      <w:proofErr w:type="gramEnd"/>
      <w:r>
        <w:rPr>
          <w:rFonts w:asciiTheme="majorHAnsi" w:hAnsiTheme="majorHAnsi"/>
          <w:szCs w:val="24"/>
        </w:rPr>
        <w:t xml:space="preserve">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gramEnd"/>
      <w:r>
        <w:rPr>
          <w:rFonts w:asciiTheme="majorHAnsi" w:hAnsiTheme="majorHAnsi"/>
          <w:szCs w:val="24"/>
        </w:rPr>
        <w:t>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w:t>
      </w:r>
      <w:proofErr w:type="gramStart"/>
      <w:r>
        <w:rPr>
          <w:rFonts w:asciiTheme="majorHAnsi" w:hAnsiTheme="majorHAnsi"/>
          <w:szCs w:val="24"/>
        </w:rPr>
        <w:t>)(</w:t>
      </w:r>
      <w:proofErr w:type="gramEnd"/>
      <w:r>
        <w:rPr>
          <w:rFonts w:asciiTheme="majorHAnsi" w:hAnsiTheme="majorHAnsi"/>
          <w:szCs w:val="24"/>
        </w:rPr>
        <w:t>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proofErr w:type="gramStart"/>
      <w:r>
        <w:rPr>
          <w:rFonts w:asciiTheme="majorHAnsi" w:hAnsiTheme="majorHAnsi"/>
          <w:sz w:val="24"/>
          <w:szCs w:val="24"/>
        </w:rPr>
        <w:t>:</w:t>
      </w:r>
      <w:proofErr w:type="gramEnd"/>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CB20C91" w14:textId="77777777" w:rsidR="0043267D" w:rsidRPr="00B53395" w:rsidRDefault="005332B6" w:rsidP="0043267D">
      <w:pPr>
        <w:widowControl w:val="0"/>
        <w:autoSpaceDE w:val="0"/>
        <w:autoSpaceDN w:val="0"/>
        <w:adjustRightInd w:val="0"/>
        <w:ind w:left="1440"/>
        <w:rPr>
          <w:rFonts w:asciiTheme="minorHAnsi" w:hAnsiTheme="minorHAnsi" w:cs="Calibri"/>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proofErr w:type="gramStart"/>
      <w:r>
        <w:rPr>
          <w:rFonts w:asciiTheme="majorHAnsi" w:hAnsiTheme="majorHAnsi"/>
          <w:sz w:val="24"/>
          <w:szCs w:val="24"/>
        </w:rPr>
        <w:t>With</w:t>
      </w:r>
      <w:proofErr w:type="gramEnd"/>
      <w:r>
        <w:rPr>
          <w:rFonts w:asciiTheme="majorHAnsi" w:hAnsiTheme="majorHAnsi"/>
          <w:sz w:val="24"/>
          <w:szCs w:val="24"/>
        </w:rPr>
        <w:t xml:space="preserve">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proofErr w:type="gramStart"/>
      <w:r w:rsidRPr="005229EC">
        <w:rPr>
          <w:rFonts w:asciiTheme="majorHAnsi" w:hAnsiTheme="majorHAnsi"/>
          <w:sz w:val="24"/>
          <w:szCs w:val="24"/>
        </w:rPr>
        <w:t>:</w:t>
      </w:r>
      <w:proofErr w:type="gramEnd"/>
      <w:r w:rsidRPr="005229EC">
        <w:rPr>
          <w:rFonts w:asciiTheme="majorHAnsi" w:hAnsiTheme="majorHAnsi"/>
          <w:sz w:val="24"/>
          <w:szCs w:val="24"/>
        </w:rPr>
        <w:br/>
      </w:r>
      <w:r w:rsidR="007F0922">
        <w:rPr>
          <w:rFonts w:asciiTheme="majorHAnsi" w:hAnsiTheme="majorHAnsi"/>
          <w:sz w:val="24"/>
          <w:szCs w:val="24"/>
        </w:rPr>
        <w:t>Rise Victory Limited</w:t>
      </w:r>
      <w:r w:rsidRPr="009D30B5">
        <w:rPr>
          <w:rFonts w:asciiTheme="majorHAnsi" w:hAnsiTheme="majorHAnsi"/>
          <w:sz w:val="24"/>
          <w:szCs w:val="24"/>
        </w:rPr>
        <w:br/>
      </w:r>
      <w:r w:rsidR="0043267D" w:rsidRPr="00E71C3B">
        <w:rPr>
          <w:rFonts w:asciiTheme="majorHAnsi" w:hAnsiTheme="majorHAnsi" w:cs="Calibri"/>
          <w:sz w:val="24"/>
          <w:szCs w:val="24"/>
        </w:rPr>
        <w:t>Unit 403, Block B, Horizon International Tower,</w:t>
      </w:r>
    </w:p>
    <w:p w14:paraId="55991694" w14:textId="77777777" w:rsidR="0043267D" w:rsidRPr="00E71C3B" w:rsidRDefault="0043267D" w:rsidP="0043267D">
      <w:pPr>
        <w:widowControl w:val="0"/>
        <w:autoSpaceDE w:val="0"/>
        <w:autoSpaceDN w:val="0"/>
        <w:adjustRightInd w:val="0"/>
        <w:ind w:left="720" w:firstLine="720"/>
        <w:rPr>
          <w:rFonts w:asciiTheme="majorHAnsi" w:hAnsiTheme="majorHAnsi" w:cs="Calibri"/>
          <w:sz w:val="24"/>
          <w:szCs w:val="24"/>
        </w:rPr>
      </w:pPr>
      <w:r w:rsidRPr="00E71C3B">
        <w:rPr>
          <w:rFonts w:asciiTheme="majorHAnsi" w:hAnsiTheme="majorHAnsi" w:cs="Calibri"/>
          <w:sz w:val="24"/>
          <w:szCs w:val="24"/>
        </w:rPr>
        <w:t>No. 6, Zhichun Road, Haidian, 100088</w:t>
      </w:r>
    </w:p>
    <w:p w14:paraId="6D040800" w14:textId="77777777" w:rsidR="0043267D" w:rsidRPr="00E71C3B" w:rsidRDefault="0043267D" w:rsidP="0043267D">
      <w:pPr>
        <w:widowControl w:val="0"/>
        <w:autoSpaceDE w:val="0"/>
        <w:autoSpaceDN w:val="0"/>
        <w:adjustRightInd w:val="0"/>
        <w:ind w:left="720" w:firstLine="720"/>
        <w:rPr>
          <w:rFonts w:asciiTheme="majorHAnsi" w:hAnsiTheme="majorHAnsi" w:cs="Calibri"/>
          <w:sz w:val="24"/>
          <w:szCs w:val="24"/>
        </w:rPr>
      </w:pPr>
      <w:r w:rsidRPr="00E71C3B">
        <w:rPr>
          <w:rFonts w:asciiTheme="majorHAnsi" w:hAnsiTheme="majorHAnsi" w:cs="Calibri"/>
          <w:sz w:val="24"/>
          <w:szCs w:val="24"/>
        </w:rPr>
        <w:t>Beijing, China</w:t>
      </w:r>
    </w:p>
    <w:p w14:paraId="4EB3D8D7" w14:textId="77777777" w:rsidR="0043267D" w:rsidRPr="00E71C3B" w:rsidRDefault="0043267D" w:rsidP="0043267D">
      <w:pPr>
        <w:widowControl w:val="0"/>
        <w:autoSpaceDE w:val="0"/>
        <w:autoSpaceDN w:val="0"/>
        <w:adjustRightInd w:val="0"/>
        <w:ind w:left="720" w:firstLine="720"/>
        <w:rPr>
          <w:rFonts w:asciiTheme="majorHAnsi" w:hAnsiTheme="majorHAnsi" w:cs="Calibri"/>
          <w:sz w:val="24"/>
          <w:szCs w:val="24"/>
        </w:rPr>
      </w:pPr>
      <w:r w:rsidRPr="00E71C3B">
        <w:rPr>
          <w:rFonts w:asciiTheme="majorHAnsi" w:hAnsiTheme="majorHAnsi" w:cs="Calibri"/>
          <w:sz w:val="24"/>
          <w:szCs w:val="24"/>
        </w:rPr>
        <w:t>Telephone: +86.1082961219</w:t>
      </w:r>
    </w:p>
    <w:p w14:paraId="64929F39" w14:textId="44D395B2" w:rsidR="0043267D" w:rsidRPr="00E71C3B" w:rsidRDefault="0043267D" w:rsidP="0043267D">
      <w:pPr>
        <w:widowControl w:val="0"/>
        <w:autoSpaceDE w:val="0"/>
        <w:autoSpaceDN w:val="0"/>
        <w:adjustRightInd w:val="0"/>
        <w:ind w:left="720" w:firstLine="720"/>
        <w:rPr>
          <w:rFonts w:asciiTheme="majorHAnsi" w:hAnsiTheme="majorHAnsi" w:cs="Calibri"/>
          <w:sz w:val="24"/>
          <w:szCs w:val="24"/>
        </w:rPr>
      </w:pPr>
      <w:r w:rsidRPr="00E71C3B">
        <w:rPr>
          <w:rFonts w:asciiTheme="majorHAnsi" w:hAnsiTheme="majorHAnsi" w:cs="Calibri"/>
          <w:sz w:val="24"/>
          <w:szCs w:val="24"/>
        </w:rPr>
        <w:t>Attention: General Counsel</w:t>
      </w:r>
    </w:p>
    <w:p w14:paraId="67F335DB" w14:textId="77777777" w:rsidR="0043267D" w:rsidRPr="00E71C3B" w:rsidRDefault="0043267D" w:rsidP="0043267D">
      <w:pPr>
        <w:ind w:left="720" w:firstLine="720"/>
        <w:rPr>
          <w:rFonts w:asciiTheme="majorHAnsi" w:hAnsiTheme="majorHAnsi" w:cs="Calibri"/>
          <w:sz w:val="24"/>
          <w:szCs w:val="24"/>
        </w:rPr>
      </w:pPr>
      <w:r w:rsidRPr="00E71C3B">
        <w:rPr>
          <w:rFonts w:asciiTheme="majorHAnsi" w:hAnsiTheme="majorHAnsi" w:cs="Calibri"/>
          <w:sz w:val="24"/>
          <w:szCs w:val="24"/>
        </w:rPr>
        <w:t>Email:</w:t>
      </w:r>
      <w:r>
        <w:rPr>
          <w:rFonts w:asciiTheme="majorHAnsi" w:hAnsiTheme="majorHAnsi" w:cs="Calibri"/>
          <w:sz w:val="24"/>
          <w:szCs w:val="24"/>
        </w:rPr>
        <w:t xml:space="preserve"> counsel@nic.wang</w:t>
      </w:r>
    </w:p>
    <w:p w14:paraId="16461918" w14:textId="3373CDFC" w:rsidR="007F0922" w:rsidRPr="00857097" w:rsidRDefault="007F0922" w:rsidP="0043267D">
      <w:pPr>
        <w:pStyle w:val="BodyTextIndent"/>
        <w:spacing w:after="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5608143F"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527602">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w:t>
      </w:r>
      <w:proofErr w:type="gramStart"/>
      <w:r>
        <w:rPr>
          <w:rFonts w:asciiTheme="majorHAnsi" w:hAnsiTheme="majorHAnsi"/>
          <w:szCs w:val="24"/>
        </w:rPr>
        <w:t>For</w:t>
      </w:r>
      <w:proofErr w:type="gramEnd"/>
      <w:r>
        <w:rPr>
          <w:rFonts w:asciiTheme="majorHAnsi" w:hAnsiTheme="majorHAnsi"/>
          <w:szCs w:val="24"/>
        </w:rPr>
        <w:t xml:space="preserve">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296BD6C0" w14:textId="495CC943" w:rsidR="00115B11" w:rsidRPr="0046082C" w:rsidRDefault="007F0922">
      <w:pPr>
        <w:pStyle w:val="BodyText"/>
        <w:rPr>
          <w:rFonts w:asciiTheme="majorHAnsi" w:hAnsiTheme="majorHAnsi"/>
          <w:b/>
          <w:sz w:val="24"/>
          <w:szCs w:val="24"/>
        </w:rPr>
      </w:pPr>
      <w:r>
        <w:rPr>
          <w:rFonts w:asciiTheme="majorHAnsi" w:hAnsiTheme="majorHAnsi"/>
          <w:b/>
          <w:sz w:val="24"/>
          <w:szCs w:val="24"/>
        </w:rPr>
        <w:t>RISE VICTORY LIMITED</w:t>
      </w:r>
    </w:p>
    <w:p w14:paraId="10C46BD5" w14:textId="41725B62" w:rsidR="007F0922" w:rsidRPr="00674AE2" w:rsidRDefault="005332B6" w:rsidP="007F0922">
      <w:pPr>
        <w:pStyle w:val="BodyTextIndent2"/>
        <w:rPr>
          <w:rFonts w:asciiTheme="majorHAnsi" w:hAnsiTheme="majorHAnsi"/>
          <w:sz w:val="24"/>
          <w:szCs w:val="24"/>
        </w:rPr>
      </w:pPr>
      <w:r w:rsidRPr="0046082C">
        <w:rPr>
          <w:rFonts w:asciiTheme="majorHAnsi" w:hAnsiTheme="majorHAnsi"/>
          <w:sz w:val="24"/>
          <w:szCs w:val="24"/>
        </w:rPr>
        <w:t>By:</w:t>
      </w:r>
      <w:r w:rsidRPr="0046082C">
        <w:rPr>
          <w:rFonts w:asciiTheme="majorHAnsi" w:hAnsiTheme="majorHAnsi"/>
          <w:sz w:val="24"/>
          <w:szCs w:val="24"/>
        </w:rPr>
        <w:tab/>
        <w:t>_____________________________</w:t>
      </w:r>
      <w:r w:rsidRPr="0046082C">
        <w:rPr>
          <w:rFonts w:asciiTheme="majorHAnsi" w:hAnsiTheme="majorHAnsi"/>
          <w:sz w:val="24"/>
          <w:szCs w:val="24"/>
        </w:rPr>
        <w:br/>
      </w:r>
      <w:r w:rsidRPr="0046082C">
        <w:rPr>
          <w:rFonts w:asciiTheme="majorHAnsi" w:hAnsiTheme="majorHAnsi"/>
          <w:sz w:val="24"/>
          <w:szCs w:val="24"/>
        </w:rPr>
        <w:tab/>
      </w:r>
      <w:r w:rsidR="007F0922" w:rsidRPr="00857097">
        <w:rPr>
          <w:rFonts w:asciiTheme="majorHAnsi" w:eastAsia="DFKai-SB" w:hAnsiTheme="majorHAnsi" w:cs="Arial"/>
          <w:sz w:val="24"/>
          <w:szCs w:val="24"/>
        </w:rPr>
        <w:t>Xiangjian</w:t>
      </w:r>
      <w:r w:rsidR="004A42C0" w:rsidRPr="004A42C0">
        <w:rPr>
          <w:rFonts w:asciiTheme="majorHAnsi" w:eastAsia="DFKai-SB" w:hAnsiTheme="majorHAnsi" w:cs="Arial"/>
          <w:sz w:val="24"/>
          <w:szCs w:val="24"/>
        </w:rPr>
        <w:t xml:space="preserve"> </w:t>
      </w:r>
      <w:r w:rsidR="004A42C0" w:rsidRPr="00857097">
        <w:rPr>
          <w:rFonts w:asciiTheme="majorHAnsi" w:eastAsia="DFKai-SB" w:hAnsiTheme="majorHAnsi" w:cs="Arial"/>
          <w:sz w:val="24"/>
          <w:szCs w:val="24"/>
        </w:rPr>
        <w:t>Li</w:t>
      </w:r>
    </w:p>
    <w:p w14:paraId="72DE8307" w14:textId="00E572C1" w:rsidR="00115B11" w:rsidRDefault="007F0922" w:rsidP="007F0922">
      <w:pPr>
        <w:pStyle w:val="BodyTextIndent2"/>
        <w:rPr>
          <w:rFonts w:asciiTheme="majorHAnsi" w:hAnsiTheme="majorHAnsi"/>
          <w:sz w:val="24"/>
          <w:szCs w:val="24"/>
        </w:rPr>
      </w:pPr>
      <w:r w:rsidRPr="00674AE2">
        <w:rPr>
          <w:rFonts w:asciiTheme="majorHAnsi" w:hAnsiTheme="majorHAnsi"/>
          <w:sz w:val="24"/>
          <w:szCs w:val="24"/>
        </w:rPr>
        <w:tab/>
      </w:r>
      <w:r w:rsidR="00E9743A">
        <w:rPr>
          <w:rFonts w:asciiTheme="majorHAnsi" w:hAnsiTheme="majorHAnsi"/>
          <w:sz w:val="24"/>
          <w:szCs w:val="24"/>
        </w:rPr>
        <w:t>CEO</w:t>
      </w:r>
    </w:p>
    <w:p w14:paraId="5D5585C6" w14:textId="77777777" w:rsidR="00115B11" w:rsidRDefault="00115B11">
      <w:pPr>
        <w:pStyle w:val="BodyTextIndent2"/>
        <w:rPr>
          <w:rFonts w:asciiTheme="majorHAnsi" w:hAnsiTheme="majorHAnsi"/>
          <w:sz w:val="24"/>
          <w:szCs w:val="24"/>
        </w:rPr>
        <w:sectPr w:rsidR="00115B11">
          <w:headerReference w:type="first" r:id="rId11"/>
          <w:footerReference w:type="first" r:id="rId12"/>
          <w:pgSz w:w="12240" w:h="15840" w:code="1"/>
          <w:pgMar w:top="1440" w:right="1440" w:bottom="1440" w:left="1440" w:header="720" w:footer="720" w:gutter="0"/>
          <w:cols w:space="720"/>
          <w:formProt w:val="0"/>
          <w:titlePg/>
          <w:docGrid w:linePitch="360"/>
        </w:sectPr>
      </w:pPr>
    </w:p>
    <w:p w14:paraId="66900FC6" w14:textId="77777777" w:rsidR="00221DBC" w:rsidRPr="00527602" w:rsidRDefault="00221DBC" w:rsidP="00221DBC">
      <w:pPr>
        <w:spacing w:after="240"/>
        <w:jc w:val="center"/>
        <w:rPr>
          <w:rFonts w:asciiTheme="majorHAnsi" w:hAnsiTheme="majorHAnsi"/>
          <w:b/>
          <w:sz w:val="24"/>
          <w:szCs w:val="24"/>
          <w:u w:val="single"/>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527602">
        <w:rPr>
          <w:rFonts w:asciiTheme="majorHAnsi" w:hAnsiTheme="majorHAnsi"/>
          <w:b/>
          <w:sz w:val="24"/>
          <w:szCs w:val="24"/>
          <w:u w:val="single"/>
        </w:rPr>
        <w:t>Approved Services</w:t>
      </w:r>
    </w:p>
    <w:p w14:paraId="3A31B92B" w14:textId="77777777" w:rsidR="00172425" w:rsidRPr="007219B2" w:rsidRDefault="00172425" w:rsidP="00172425">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209968C9" w14:textId="77777777" w:rsidR="00172425" w:rsidRPr="007219B2" w:rsidRDefault="00172425" w:rsidP="00172425">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3855A968" w14:textId="77777777" w:rsidR="00172425" w:rsidRPr="007219B2" w:rsidRDefault="00172425" w:rsidP="00172425">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4950D213" w14:textId="77777777" w:rsidR="00172425" w:rsidRPr="007219B2" w:rsidRDefault="00172425" w:rsidP="00172425">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3C97EDD5" w14:textId="77777777" w:rsidR="00172425" w:rsidRPr="007219B2" w:rsidRDefault="00172425" w:rsidP="00172425">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2B8BD06F" w14:textId="77777777" w:rsidR="00172425" w:rsidRPr="007219B2" w:rsidRDefault="00172425" w:rsidP="00172425">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2DC7F3D0" w14:textId="77777777" w:rsidR="00172425" w:rsidRPr="007219B2" w:rsidRDefault="00172425" w:rsidP="00172425">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6AE142F5" w14:textId="77777777" w:rsidR="00172425" w:rsidRPr="007219B2" w:rsidRDefault="00172425" w:rsidP="00172425">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5ED2AD62" w14:textId="77777777" w:rsidR="00172425" w:rsidRPr="007219B2" w:rsidRDefault="00172425" w:rsidP="00172425">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53527685" w14:textId="77777777" w:rsidR="00172425" w:rsidRPr="007219B2" w:rsidRDefault="00172425" w:rsidP="00172425">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1D99B811" w14:textId="77777777" w:rsidR="00172425" w:rsidRDefault="00172425" w:rsidP="00172425">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30j0zll" w:colFirst="0" w:colLast="0"/>
      <w:bookmarkStart w:id="2" w:name="h.1fob9te" w:colFirst="0" w:colLast="0"/>
      <w:bookmarkStart w:id="3" w:name="h.3znysh7" w:colFirst="0" w:colLast="0"/>
      <w:bookmarkStart w:id="4" w:name="h.2s8eyo1" w:colFirst="0" w:colLast="0"/>
      <w:bookmarkEnd w:id="1"/>
      <w:bookmarkEnd w:id="2"/>
      <w:bookmarkEnd w:id="3"/>
      <w:bookmarkEnd w:id="4"/>
      <w:r>
        <w:rPr>
          <w:rFonts w:ascii="Cambria" w:eastAsia="Arial" w:hAnsi="Cambria" w:cs="Arial"/>
          <w:b/>
          <w:color w:val="000000"/>
          <w:szCs w:val="22"/>
          <w:lang w:eastAsia="ja-JP"/>
        </w:rPr>
        <w:t>Anti-Abuse</w:t>
      </w:r>
    </w:p>
    <w:p w14:paraId="2D371F4C" w14:textId="77777777" w:rsidR="00172425" w:rsidRPr="00C35D80" w:rsidRDefault="00172425" w:rsidP="00172425">
      <w:pPr>
        <w:spacing w:after="200" w:line="276" w:lineRule="auto"/>
        <w:ind w:left="360"/>
        <w:outlineLvl w:val="0"/>
        <w:rPr>
          <w:rFonts w:ascii="Cambria" w:eastAsia="Arial" w:hAnsi="Cambria" w:cs="Arial"/>
          <w:color w:val="000000"/>
          <w:szCs w:val="22"/>
          <w:lang w:eastAsia="ja-JP"/>
        </w:rPr>
      </w:pPr>
      <w:r w:rsidRPr="00642096">
        <w:rPr>
          <w:rFonts w:ascii="Cambria" w:eastAsia="Arial" w:hAnsi="Cambria" w:cs="Arial"/>
          <w:color w:val="000000"/>
          <w:szCs w:val="22"/>
          <w:lang w:eastAsia="ja-JP"/>
        </w:rPr>
        <w:t>Registry Operator may suspend, delete or otherwise make changes to domain names in compliance with its anti-abuse policy.</w:t>
      </w:r>
    </w:p>
    <w:p w14:paraId="36B86626" w14:textId="77777777" w:rsidR="00172425" w:rsidRPr="00EE6ABF" w:rsidRDefault="00172425" w:rsidP="00172425">
      <w:pPr>
        <w:numPr>
          <w:ilvl w:val="0"/>
          <w:numId w:val="42"/>
        </w:numPr>
        <w:spacing w:before="480" w:after="200" w:line="276" w:lineRule="auto"/>
        <w:ind w:left="720"/>
        <w:outlineLvl w:val="0"/>
        <w:rPr>
          <w:rFonts w:ascii="Cambria" w:eastAsia="Arial" w:hAnsi="Cambria" w:cs="Arial"/>
          <w:b/>
          <w:color w:val="000000"/>
          <w:szCs w:val="22"/>
          <w:lang w:eastAsia="ja-JP"/>
        </w:rPr>
      </w:pPr>
      <w:r w:rsidRPr="00EE6ABF">
        <w:rPr>
          <w:rFonts w:ascii="Cambria" w:eastAsia="Arial" w:hAnsi="Cambria" w:cs="Arial"/>
          <w:b/>
          <w:color w:val="000000"/>
          <w:szCs w:val="22"/>
          <w:lang w:eastAsia="ja-JP"/>
        </w:rPr>
        <w:t>Searchable Whois</w:t>
      </w:r>
    </w:p>
    <w:p w14:paraId="5B339AD7" w14:textId="77777777" w:rsidR="00172425" w:rsidRPr="004A4A05" w:rsidRDefault="00172425" w:rsidP="00172425">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w:t>
      </w:r>
      <w:r>
        <w:rPr>
          <w:rFonts w:ascii="Cambria" w:eastAsia="Arial" w:hAnsi="Cambria" w:cs="Arial"/>
          <w:color w:val="000000"/>
          <w:szCs w:val="22"/>
          <w:lang w:eastAsia="ja-JP"/>
        </w:rPr>
        <w:t>e</w:t>
      </w:r>
      <w:r w:rsidRPr="004A4A05">
        <w:rPr>
          <w:rFonts w:ascii="Cambria" w:eastAsia="Arial" w:hAnsi="Cambria" w:cs="Arial"/>
          <w:color w:val="000000"/>
          <w:szCs w:val="22"/>
          <w:lang w:eastAsia="ja-JP"/>
        </w:rPr>
        <w:t>.</w:t>
      </w:r>
      <w:r>
        <w:rPr>
          <w:rFonts w:ascii="Cambria" w:eastAsia="Arial" w:hAnsi="Cambria" w:cs="Arial"/>
          <w:color w:val="000000"/>
          <w:szCs w:val="22"/>
          <w:lang w:eastAsia="ja-JP"/>
        </w:rPr>
        <w:t>g</w:t>
      </w:r>
      <w:r w:rsidRPr="004A4A05">
        <w:rPr>
          <w:rFonts w:ascii="Cambria" w:eastAsia="Arial" w:hAnsi="Cambria" w:cs="Arial"/>
          <w:color w:val="000000"/>
          <w:szCs w:val="22"/>
          <w:lang w:eastAsia="ja-JP"/>
        </w:rPr>
        <w:t>., user name and password).  Registry Operator must issue such credentials exclusively to eligible users and institutions that supply sufficient proof of their legitimate interest in this feature (e.g., law enforcement agencies).</w:t>
      </w:r>
      <w:r>
        <w:rPr>
          <w:rFonts w:ascii="Cambria" w:eastAsia="Arial" w:hAnsi="Cambria" w:cs="Arial"/>
          <w:color w:val="000000"/>
          <w:szCs w:val="22"/>
          <w:lang w:eastAsia="ja-JP"/>
        </w:rPr>
        <w:t xml:space="preserve">  </w:t>
      </w:r>
      <w:r w:rsidRPr="006834BC">
        <w:rPr>
          <w:rFonts w:ascii="Cambria" w:eastAsia="Arial" w:hAnsi="Cambria" w:cs="Arial"/>
          <w:color w:val="000000"/>
          <w:szCs w:val="22"/>
          <w:lang w:eastAsia="ja-JP"/>
        </w:rPr>
        <w:t>Registry Operator shall use rate-limiting to prevent abuse of the searchable Whois service.</w:t>
      </w:r>
    </w:p>
    <w:p w14:paraId="65C81E8B" w14:textId="77777777" w:rsidR="00172425" w:rsidRPr="00983BFF" w:rsidRDefault="00172425" w:rsidP="00172425">
      <w:pPr>
        <w:numPr>
          <w:ilvl w:val="0"/>
          <w:numId w:val="42"/>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49489EAD" w14:textId="77777777" w:rsidR="00172425" w:rsidRPr="00983BFF" w:rsidRDefault="00172425" w:rsidP="00172425">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01FC2712" w14:textId="77777777" w:rsidR="00172425" w:rsidRPr="00983BFF" w:rsidRDefault="00172425" w:rsidP="00172425">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4173974F" w14:textId="77777777" w:rsidR="00172425" w:rsidRPr="00983BFF" w:rsidRDefault="00172425" w:rsidP="00172425">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handle variant IDNs as follows:</w:t>
      </w:r>
    </w:p>
    <w:p w14:paraId="0A808D44" w14:textId="77777777" w:rsidR="00172425" w:rsidRPr="007328EB" w:rsidRDefault="00172425" w:rsidP="00172425">
      <w:pPr>
        <w:numPr>
          <w:ilvl w:val="2"/>
          <w:numId w:val="42"/>
        </w:numPr>
        <w:spacing w:after="200"/>
        <w:ind w:left="1584"/>
        <w:rPr>
          <w:rFonts w:ascii="Cambria" w:eastAsia="Arial" w:hAnsi="Cambria" w:cs="Arial"/>
          <w:color w:val="000000"/>
          <w:szCs w:val="22"/>
          <w:lang w:eastAsia="ja-JP"/>
        </w:rPr>
      </w:pPr>
      <w:r w:rsidRPr="007328EB">
        <w:rPr>
          <w:rFonts w:ascii="Cambria" w:eastAsia="Arial" w:hAnsi="Cambria" w:cs="Arial"/>
          <w:color w:val="000000"/>
          <w:szCs w:val="22"/>
          <w:lang w:eastAsia="ja-JP"/>
        </w:rPr>
        <w:t>By default variant IDNs (as defined in the Registry Operator’s IDN tables and IDN Registration Rules) must be blocked from registration.</w:t>
      </w:r>
    </w:p>
    <w:p w14:paraId="00B832D6" w14:textId="77777777" w:rsidR="00172425" w:rsidRPr="007328EB" w:rsidRDefault="00172425" w:rsidP="00172425">
      <w:pPr>
        <w:numPr>
          <w:ilvl w:val="2"/>
          <w:numId w:val="42"/>
        </w:numPr>
        <w:spacing w:after="200"/>
        <w:ind w:left="1584"/>
        <w:rPr>
          <w:rFonts w:ascii="Cambria" w:eastAsia="Arial" w:hAnsi="Cambria" w:cs="Arial"/>
          <w:color w:val="000000"/>
          <w:szCs w:val="22"/>
          <w:lang w:eastAsia="ja-JP"/>
        </w:rPr>
      </w:pPr>
      <w:r w:rsidRPr="007328EB">
        <w:rPr>
          <w:rFonts w:ascii="Cambria" w:eastAsia="Arial" w:hAnsi="Cambria" w:cs="Arial"/>
          <w:color w:val="000000"/>
          <w:szCs w:val="22"/>
          <w:lang w:eastAsia="ja-JP"/>
        </w:rPr>
        <w:t>Variant IDNs may be activated when requested by the sponsoring Registrar of the canonical name as described in the IDN Tables and IDN Registration Rules.</w:t>
      </w:r>
    </w:p>
    <w:p w14:paraId="3582FA02" w14:textId="77777777" w:rsidR="00172425" w:rsidRDefault="00172425" w:rsidP="00172425">
      <w:pPr>
        <w:numPr>
          <w:ilvl w:val="2"/>
          <w:numId w:val="42"/>
        </w:numPr>
        <w:spacing w:after="200"/>
        <w:ind w:left="1584"/>
        <w:rPr>
          <w:rFonts w:ascii="Cambria" w:eastAsia="Arial" w:hAnsi="Cambria" w:cs="Arial"/>
          <w:color w:val="000000"/>
          <w:szCs w:val="22"/>
          <w:lang w:eastAsia="ja-JP"/>
        </w:rPr>
      </w:pPr>
      <w:r w:rsidRPr="007328EB">
        <w:rPr>
          <w:rFonts w:ascii="Cambria" w:eastAsia="Arial" w:hAnsi="Cambria" w:cs="Arial"/>
          <w:color w:val="000000"/>
          <w:szCs w:val="22"/>
          <w:lang w:eastAsia="ja-JP"/>
        </w:rPr>
        <w:t>Active variant IDNs must be provisioned in the TLD’s DNS zone file as zone cuts using the same NS resource records as the canonical name.</w:t>
      </w:r>
    </w:p>
    <w:p w14:paraId="7CBDF664" w14:textId="77777777" w:rsidR="00172425" w:rsidRPr="00983BFF" w:rsidRDefault="00172425" w:rsidP="00172425">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1EA25391" w14:textId="77777777" w:rsidR="00172425" w:rsidRDefault="00172425" w:rsidP="00172425">
      <w:pPr>
        <w:numPr>
          <w:ilvl w:val="2"/>
          <w:numId w:val="42"/>
        </w:numPr>
        <w:spacing w:after="200"/>
        <w:ind w:left="1584"/>
        <w:rPr>
          <w:rFonts w:ascii="Cambria" w:eastAsia="Arial" w:hAnsi="Cambria" w:cs="Arial"/>
          <w:color w:val="000000"/>
          <w:szCs w:val="22"/>
          <w:lang w:eastAsia="ja-JP"/>
        </w:rPr>
      </w:pPr>
      <w:r>
        <w:t xml:space="preserve">Chinese (Simplified) </w:t>
      </w:r>
      <w:r>
        <w:rPr>
          <w:rFonts w:ascii="Cambria" w:eastAsia="Arial" w:hAnsi="Cambria" w:cs="Arial"/>
          <w:color w:val="000000"/>
          <w:szCs w:val="22"/>
          <w:lang w:eastAsia="ja-JP"/>
        </w:rPr>
        <w:t>language</w:t>
      </w:r>
    </w:p>
    <w:p w14:paraId="546C9141" w14:textId="77777777" w:rsidR="00172425" w:rsidRPr="007328EB" w:rsidRDefault="00172425" w:rsidP="00172425">
      <w:pPr>
        <w:numPr>
          <w:ilvl w:val="2"/>
          <w:numId w:val="42"/>
        </w:numPr>
        <w:spacing w:after="200"/>
        <w:ind w:left="1584"/>
        <w:rPr>
          <w:rFonts w:ascii="Cambria" w:eastAsia="Arial" w:hAnsi="Cambria" w:cs="Arial"/>
          <w:color w:val="000000"/>
          <w:szCs w:val="22"/>
          <w:lang w:eastAsia="ja-JP"/>
        </w:rPr>
      </w:pPr>
      <w:r>
        <w:t xml:space="preserve">Chinese (Traditional) </w:t>
      </w:r>
      <w:r>
        <w:rPr>
          <w:rFonts w:ascii="Cambria" w:eastAsia="Arial" w:hAnsi="Cambria" w:cs="Arial"/>
          <w:color w:val="000000"/>
          <w:szCs w:val="22"/>
          <w:lang w:eastAsia="ja-JP"/>
        </w:rPr>
        <w:t>language</w:t>
      </w:r>
    </w:p>
    <w:p w14:paraId="640D5190" w14:textId="77777777" w:rsidR="00172425" w:rsidRPr="00640D17" w:rsidRDefault="00172425" w:rsidP="00172425">
      <w:pPr>
        <w:pStyle w:val="ListParagraph"/>
        <w:ind w:left="360"/>
        <w:rPr>
          <w:szCs w:val="22"/>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xml:space="preserve">.  If a Registry Operator offers additional Registry Services that require submission of additional data, not included above, additional “extension schemas” shall be defined in a case by case basis to represent that data.  These “extension schemas” will be specified as described in Part </w:t>
      </w:r>
      <w:proofErr w:type="gramStart"/>
      <w:r>
        <w:rPr>
          <w:rFonts w:asciiTheme="majorHAnsi" w:hAnsiTheme="majorHAnsi"/>
          <w:sz w:val="24"/>
          <w:szCs w:val="24"/>
        </w:rPr>
        <w:t>A</w:t>
      </w:r>
      <w:proofErr w:type="gramEnd"/>
      <w:r>
        <w:rPr>
          <w:rFonts w:asciiTheme="majorHAnsi" w:hAnsiTheme="majorHAnsi"/>
          <w:sz w:val="24"/>
          <w:szCs w:val="24"/>
        </w:rPr>
        <w:t>,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w:t>
      </w:r>
      <w:proofErr w:type="gramStart"/>
      <w:r>
        <w:rPr>
          <w:rFonts w:asciiTheme="majorHAnsi" w:hAnsiTheme="majorHAnsi"/>
          <w:sz w:val="24"/>
          <w:szCs w:val="24"/>
        </w:rPr>
        <w:t>encrypted,</w:t>
      </w:r>
      <w:proofErr w:type="gramEnd"/>
      <w:r>
        <w:rPr>
          <w:rFonts w:asciiTheme="majorHAnsi" w:hAnsiTheme="majorHAnsi"/>
          <w:sz w:val="24"/>
          <w:szCs w:val="24"/>
        </w:rPr>
        <w:t xml:space="preserve"> it is larger than the file size limit agreed with the escrow agent.  Every part of a split </w:t>
      </w:r>
      <w:proofErr w:type="gramStart"/>
      <w:r>
        <w:rPr>
          <w:rFonts w:asciiTheme="majorHAnsi" w:hAnsiTheme="majorHAnsi"/>
          <w:sz w:val="24"/>
          <w:szCs w:val="24"/>
        </w:rPr>
        <w:t>file,</w:t>
      </w:r>
      <w:proofErr w:type="gramEnd"/>
      <w:r>
        <w:rPr>
          <w:rFonts w:asciiTheme="majorHAnsi" w:hAnsiTheme="majorHAnsi"/>
          <w:sz w:val="24"/>
          <w:szCs w:val="24"/>
        </w:rPr>
        <w:t xml:space="preserv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processed files and digital signature files will then be transferred to the Escrow Agent through secure electronic mechanisms, such as, SFTP, </w:t>
      </w:r>
      <w:proofErr w:type="gramStart"/>
      <w:r>
        <w:rPr>
          <w:rFonts w:asciiTheme="majorHAnsi" w:hAnsiTheme="majorHAnsi"/>
          <w:sz w:val="24"/>
          <w:szCs w:val="24"/>
        </w:rPr>
        <w:t>SCP,</w:t>
      </w:r>
      <w:proofErr w:type="gramEnd"/>
      <w:r>
        <w:rPr>
          <w:rFonts w:asciiTheme="majorHAnsi" w:hAnsiTheme="majorHAnsi"/>
          <w:sz w:val="24"/>
          <w:szCs w:val="24"/>
        </w:rPr>
        <w:t xml:space="preserve">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w:t>
      </w:r>
      <w:proofErr w:type="gramStart"/>
      <w:r>
        <w:rPr>
          <w:rFonts w:asciiTheme="majorHAnsi" w:hAnsiTheme="majorHAnsi"/>
          <w:sz w:val="24"/>
          <w:szCs w:val="24"/>
        </w:rPr>
        <w:t>ext</w:t>
      </w:r>
      <w:proofErr w:type="gramEnd"/>
      <w:r>
        <w:rPr>
          <w:rFonts w:asciiTheme="majorHAnsi" w:hAnsiTheme="majorHAnsi"/>
          <w:sz w:val="24"/>
          <w:szCs w:val="24"/>
        </w:rPr>
        <w: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Each data file contained in the previous step is then validated against the format defined in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If Part A, Section 9, reference 1 of this Specification includes a verification </w:t>
      </w:r>
      <w:proofErr w:type="gramStart"/>
      <w:r>
        <w:rPr>
          <w:rFonts w:asciiTheme="majorHAnsi" w:hAnsiTheme="majorHAnsi"/>
          <w:sz w:val="24"/>
          <w:szCs w:val="24"/>
        </w:rPr>
        <w:t>process, that</w:t>
      </w:r>
      <w:proofErr w:type="gramEnd"/>
      <w:r>
        <w:rPr>
          <w:rFonts w:asciiTheme="majorHAnsi" w:hAnsiTheme="majorHAnsi"/>
          <w:sz w:val="24"/>
          <w:szCs w:val="24"/>
        </w:rPr>
        <w:t xml:space="preserve"> will be applied at this step.</w:t>
      </w:r>
    </w:p>
    <w:p w14:paraId="751E2948" w14:textId="77777777" w:rsidR="00115B11" w:rsidRDefault="005332B6" w:rsidP="003A3063">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538CD6DF" w14:textId="77777777" w:rsidR="003A3063" w:rsidRPr="003A3063" w:rsidRDefault="003A3063" w:rsidP="003A3063">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w:t>
      </w:r>
      <w:proofErr w:type="gramStart"/>
      <w:r w:rsidR="00A329C6">
        <w:rPr>
          <w:rFonts w:asciiTheme="majorHAnsi" w:hAnsiTheme="majorHAnsi"/>
          <w:sz w:val="24"/>
          <w:szCs w:val="24"/>
        </w:rPr>
        <w:t xml:space="preserve">192.0.2.123 </w:t>
      </w:r>
      <w:r>
        <w:rPr>
          <w:rFonts w:asciiTheme="majorHAnsi" w:hAnsiTheme="majorHAnsi"/>
          <w:sz w:val="24"/>
          <w:szCs w:val="24"/>
        </w:rPr>
        <w:t xml:space="preserve"> </w:t>
      </w:r>
      <w:proofErr w:type="gramEnd"/>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3473A4FA" w14:textId="77777777" w:rsidR="003A3063" w:rsidRPr="003A3063" w:rsidRDefault="003A3063" w:rsidP="003A3063">
      <w:pPr>
        <w:pStyle w:val="BodyText"/>
      </w:pP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w:t>
      </w:r>
      <w:proofErr w:type="gramStart"/>
      <w:r>
        <w:rPr>
          <w:rFonts w:asciiTheme="majorHAnsi" w:hAnsiTheme="majorHAnsi"/>
          <w:sz w:val="24"/>
          <w:szCs w:val="24"/>
          <w:lang w:eastAsia="en-US"/>
        </w:rPr>
        <w:t xml:space="preserve">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at the second level within the TLD.</w:t>
      </w:r>
      <w:proofErr w:type="gramEnd"/>
      <w:r>
        <w:rPr>
          <w:rFonts w:asciiTheme="majorHAnsi" w:hAnsiTheme="majorHAnsi"/>
          <w:sz w:val="24"/>
          <w:szCs w:val="24"/>
          <w:lang w:eastAsia="en-US"/>
        </w:rPr>
        <w:t xml:space="preserve">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xml:space="preserve">.  Registry Operator shall take action to remove orphan glue records (as defined at http://www.icann.org/en/committees/security/sac048.pdf) when provided with evidence in written form </w:t>
      </w:r>
      <w:proofErr w:type="gramStart"/>
      <w:r w:rsidRPr="00B00719">
        <w:rPr>
          <w:rFonts w:asciiTheme="majorHAnsi" w:hAnsiTheme="majorHAnsi"/>
          <w:sz w:val="24"/>
          <w:szCs w:val="24"/>
        </w:rPr>
        <w:t>that such records</w:t>
      </w:r>
      <w:proofErr w:type="gramEnd"/>
      <w:r w:rsidRPr="00B00719">
        <w:rPr>
          <w:rFonts w:asciiTheme="majorHAnsi" w:hAnsiTheme="majorHAnsi"/>
          <w:sz w:val="24"/>
          <w:szCs w:val="24"/>
        </w:rPr>
        <w:t xml:space="preserve">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9"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231CE2F9" w14:textId="77777777" w:rsidR="00E657F6" w:rsidRPr="00FE0C74" w:rsidRDefault="00E657F6" w:rsidP="00E657F6">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0"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263C23DB" w14:textId="77777777" w:rsidR="00E657F6" w:rsidRPr="00FE0C74" w:rsidRDefault="00E657F6" w:rsidP="00E657F6">
      <w:pPr>
        <w:pStyle w:val="Spec1L2"/>
        <w:rPr>
          <w:rFonts w:asciiTheme="majorHAnsi" w:hAnsiTheme="majorHAnsi"/>
          <w:sz w:val="24"/>
          <w:szCs w:val="24"/>
        </w:rPr>
      </w:pPr>
      <w:bookmarkStart w:id="5" w:name="_DV_M387"/>
      <w:bookmarkEnd w:id="5"/>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6C384147" w14:textId="77777777" w:rsidR="00E657F6" w:rsidRPr="00FE0C74" w:rsidRDefault="00E657F6" w:rsidP="00E657F6">
      <w:pPr>
        <w:pStyle w:val="Spec1L8"/>
        <w:rPr>
          <w:rFonts w:asciiTheme="majorHAnsi" w:hAnsiTheme="majorHAnsi"/>
          <w:sz w:val="24"/>
          <w:szCs w:val="24"/>
        </w:rPr>
      </w:pPr>
      <w:bookmarkStart w:id="6" w:name="_DV_M388"/>
      <w:bookmarkEnd w:id="6"/>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Trademark Post-Delegation Dispute Resolution Procedure (PDDRP) and the Registration Restriction Dispute Resolution Procedure (RRDRP) adopted by ICANN (posted at </w:t>
      </w:r>
      <w:hyperlink r:id="rId31"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2"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452D2DE3" w14:textId="77777777" w:rsidR="00E657F6" w:rsidRPr="00FE0C74" w:rsidRDefault="00E657F6" w:rsidP="00E657F6">
      <w:pPr>
        <w:pStyle w:val="Spec1L8"/>
        <w:rPr>
          <w:rFonts w:asciiTheme="majorHAnsi" w:hAnsiTheme="majorHAnsi"/>
          <w:sz w:val="24"/>
          <w:szCs w:val="24"/>
        </w:rPr>
      </w:pPr>
      <w:bookmarkStart w:id="7" w:name="_DV_M389"/>
      <w:bookmarkEnd w:id="7"/>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Uniform Rapid Suspension system (“URS”) adopted by ICANN (posted at </w:t>
      </w:r>
      <w:hyperlink r:id="rId33"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w:t>
      </w:r>
      <w:proofErr w:type="gramStart"/>
      <w:r>
        <w:rPr>
          <w:rFonts w:asciiTheme="majorHAnsi" w:hAnsiTheme="majorHAnsi"/>
          <w:sz w:val="24"/>
          <w:szCs w:val="24"/>
        </w:rPr>
        <w:t>be</w:t>
      </w:r>
      <w:proofErr w:type="gramEnd"/>
      <w:r>
        <w:rPr>
          <w:rFonts w:asciiTheme="majorHAnsi" w:hAnsiTheme="majorHAnsi"/>
          <w:sz w:val="24"/>
          <w:szCs w:val="24"/>
        </w:rPr>
        <w:t xml:space="preserv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7F0D188C" w14:textId="77777777" w:rsidR="003A3063" w:rsidRPr="003A3063" w:rsidRDefault="003A3063" w:rsidP="003A3063">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30765DF9" w14:textId="77777777" w:rsidR="00E657F6" w:rsidRPr="00C632D7" w:rsidRDefault="00E657F6" w:rsidP="00E657F6">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8"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7B68E18C" w14:textId="77777777" w:rsidR="00BB03C2" w:rsidRPr="00BB03C2" w:rsidRDefault="00BB03C2" w:rsidP="00BB03C2">
      <w:pPr>
        <w:rPr>
          <w:rFonts w:asciiTheme="majorHAnsi" w:eastAsia="MS Gothic" w:hAnsiTheme="majorHAnsi" w:cs="Cambria"/>
          <w:color w:val="000000"/>
          <w:sz w:val="24"/>
          <w:szCs w:val="24"/>
        </w:rPr>
      </w:pPr>
    </w:p>
    <w:p w14:paraId="448B26A4" w14:textId="77777777" w:rsidR="00BB03C2" w:rsidRPr="00335964" w:rsidRDefault="00BB03C2" w:rsidP="00BB03C2">
      <w:pPr>
        <w:pStyle w:val="ListParagraph"/>
        <w:numPr>
          <w:ilvl w:val="1"/>
          <w:numId w:val="39"/>
        </w:numPr>
        <w:rPr>
          <w:rFonts w:asciiTheme="majorHAnsi" w:eastAsia="MS Gothic" w:hAnsiTheme="majorHAnsi" w:cs="Cambria"/>
          <w:color w:val="000000"/>
          <w:sz w:val="24"/>
          <w:szCs w:val="24"/>
        </w:rPr>
      </w:pPr>
      <w:r>
        <w:rPr>
          <w:rFonts w:asciiTheme="majorHAnsi" w:hAnsiTheme="majorHAnsi"/>
          <w:sz w:val="24"/>
          <w:szCs w:val="24"/>
        </w:rPr>
        <w:t>Registry O</w:t>
      </w:r>
      <w:r w:rsidRPr="00335964">
        <w:rPr>
          <w:rFonts w:asciiTheme="majorHAnsi" w:hAnsiTheme="majorHAnsi"/>
          <w:sz w:val="24"/>
          <w:szCs w:val="24"/>
        </w:rPr>
        <w:t>perators will include a provision in their Registry-Regi</w:t>
      </w:r>
      <w:r>
        <w:rPr>
          <w:rFonts w:asciiTheme="majorHAnsi" w:hAnsiTheme="majorHAnsi"/>
          <w:sz w:val="24"/>
          <w:szCs w:val="24"/>
        </w:rPr>
        <w:t>strar Agreements that requires r</w:t>
      </w:r>
      <w:r w:rsidRPr="00335964">
        <w:rPr>
          <w:rFonts w:asciiTheme="majorHAnsi" w:hAnsiTheme="majorHAnsi"/>
          <w:sz w:val="24"/>
          <w:szCs w:val="24"/>
        </w:rPr>
        <w:t xml:space="preserve">egistrars to include in their Registration Agreements a provision requiring registrants to comply with all applicable laws, including those that relate to privacy, data collection, consumer protection (including in relation to misleading and deceptive conduct), fair lending, debt collection, organic farming, disclosure of data, and financial disclosures. </w:t>
      </w:r>
    </w:p>
    <w:p w14:paraId="2956308E" w14:textId="77777777" w:rsidR="00BB03C2" w:rsidRPr="00335964" w:rsidRDefault="00BB03C2" w:rsidP="00BB03C2">
      <w:pPr>
        <w:rPr>
          <w:rFonts w:asciiTheme="majorHAnsi" w:hAnsiTheme="majorHAnsi"/>
          <w:sz w:val="24"/>
          <w:szCs w:val="24"/>
        </w:rPr>
      </w:pPr>
    </w:p>
    <w:p w14:paraId="6A917C4B" w14:textId="77777777" w:rsidR="00BB03C2" w:rsidRPr="00335964" w:rsidRDefault="00BB03C2" w:rsidP="00BB03C2">
      <w:pPr>
        <w:pStyle w:val="ListParagraph"/>
        <w:numPr>
          <w:ilvl w:val="1"/>
          <w:numId w:val="39"/>
        </w:numPr>
        <w:rPr>
          <w:rFonts w:asciiTheme="majorHAnsi" w:eastAsia="MS Gothic" w:hAnsiTheme="majorHAnsi" w:cs="Cambria"/>
          <w:color w:val="000000"/>
          <w:sz w:val="24"/>
          <w:szCs w:val="24"/>
        </w:rPr>
      </w:pPr>
      <w:r>
        <w:rPr>
          <w:rFonts w:asciiTheme="majorHAnsi" w:hAnsiTheme="majorHAnsi"/>
          <w:sz w:val="24"/>
          <w:szCs w:val="24"/>
        </w:rPr>
        <w:t>Registry O</w:t>
      </w:r>
      <w:r w:rsidRPr="00335964">
        <w:rPr>
          <w:rFonts w:asciiTheme="majorHAnsi" w:hAnsiTheme="majorHAnsi"/>
          <w:sz w:val="24"/>
          <w:szCs w:val="24"/>
        </w:rPr>
        <w:t xml:space="preserve">perators will include a provision in their Registry-Registrar Agreements that requires registrars at the time of registration to notify registrants of the requirement to comply with all applicable laws. </w:t>
      </w:r>
    </w:p>
    <w:p w14:paraId="6A5A38BD" w14:textId="77777777" w:rsidR="00BB03C2" w:rsidRPr="00335964" w:rsidRDefault="00BB03C2" w:rsidP="00BB03C2">
      <w:pPr>
        <w:rPr>
          <w:rFonts w:asciiTheme="majorHAnsi" w:hAnsiTheme="majorHAnsi"/>
          <w:sz w:val="24"/>
          <w:szCs w:val="24"/>
        </w:rPr>
      </w:pPr>
    </w:p>
    <w:p w14:paraId="223F8F4A" w14:textId="77777777" w:rsidR="00BB03C2" w:rsidRPr="00152B59" w:rsidRDefault="00BB03C2" w:rsidP="00BB03C2">
      <w:pPr>
        <w:pStyle w:val="ListParagraph"/>
        <w:numPr>
          <w:ilvl w:val="1"/>
          <w:numId w:val="39"/>
        </w:numPr>
        <w:rPr>
          <w:rFonts w:asciiTheme="majorHAnsi" w:eastAsia="MS Gothic" w:hAnsiTheme="majorHAnsi" w:cs="Cambria"/>
          <w:color w:val="000000"/>
          <w:sz w:val="24"/>
          <w:szCs w:val="24"/>
        </w:rPr>
      </w:pPr>
      <w:r>
        <w:rPr>
          <w:rFonts w:asciiTheme="majorHAnsi" w:hAnsiTheme="majorHAnsi"/>
          <w:sz w:val="24"/>
          <w:szCs w:val="24"/>
        </w:rPr>
        <w:t>Registry O</w:t>
      </w:r>
      <w:r w:rsidRPr="00335964">
        <w:rPr>
          <w:rFonts w:asciiTheme="majorHAnsi" w:hAnsiTheme="majorHAnsi"/>
          <w:sz w:val="24"/>
          <w:szCs w:val="24"/>
        </w:rPr>
        <w:t>perators will include a provision in their Registry-Regi</w:t>
      </w:r>
      <w:r>
        <w:rPr>
          <w:rFonts w:asciiTheme="majorHAnsi" w:hAnsiTheme="majorHAnsi"/>
          <w:sz w:val="24"/>
          <w:szCs w:val="24"/>
        </w:rPr>
        <w:t>strar Agreements that requires r</w:t>
      </w:r>
      <w:r w:rsidRPr="00335964">
        <w:rPr>
          <w:rFonts w:asciiTheme="majorHAnsi" w:hAnsiTheme="majorHAnsi"/>
          <w:sz w:val="24"/>
          <w:szCs w:val="24"/>
        </w:rPr>
        <w:t>egistrars to include in their Registration Agreements a provision requiring that registrants who collect and maintain sensitive health and financial data implement reasonable and appropriate security measures commensurate with the offering of those services, as defined by applicable law.</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9"/>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26498A" w14:textId="77777777" w:rsidR="00E47529" w:rsidRDefault="00E47529">
      <w:pPr>
        <w:pStyle w:val="Footer"/>
      </w:pPr>
    </w:p>
  </w:endnote>
  <w:endnote w:type="continuationSeparator" w:id="0">
    <w:p w14:paraId="67A6DD6C" w14:textId="77777777" w:rsidR="00E47529" w:rsidRDefault="00E47529">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45B0DD58" w:rsidR="00E47529" w:rsidRDefault="00E47529">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E47529" w:rsidRDefault="00E47529">
    <w:pPr>
      <w:pStyle w:val="Footer"/>
      <w:spacing w:line="200" w:lineRule="exact"/>
      <w:jc w:val="center"/>
    </w:pPr>
    <w:r>
      <w:fldChar w:fldCharType="begin"/>
    </w:r>
    <w:r>
      <w:instrText xml:space="preserve"> PAGE   \* MERGEFORMAT </w:instrText>
    </w:r>
    <w:r>
      <w:fldChar w:fldCharType="separate"/>
    </w:r>
    <w:r w:rsidR="006E4C09">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E47529" w:rsidRDefault="00E47529">
    <w:pPr>
      <w:pStyle w:val="Footer"/>
      <w:tabs>
        <w:tab w:val="clear" w:pos="4680"/>
      </w:tabs>
      <w:spacing w:line="200" w:lineRule="exact"/>
      <w:jc w:val="center"/>
    </w:pPr>
    <w:r>
      <w:fldChar w:fldCharType="begin"/>
    </w:r>
    <w:r>
      <w:instrText xml:space="preserve"> PAGE   \* MERGEFORMAT </w:instrText>
    </w:r>
    <w:r>
      <w:fldChar w:fldCharType="separate"/>
    </w:r>
    <w:r w:rsidR="006E4C09">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E47529" w:rsidRDefault="00E47529">
    <w:pPr>
      <w:pStyle w:val="Footer"/>
      <w:spacing w:line="200" w:lineRule="exact"/>
      <w:jc w:val="center"/>
    </w:pPr>
    <w:r>
      <w:fldChar w:fldCharType="begin"/>
    </w:r>
    <w:r>
      <w:instrText xml:space="preserve"> PAGE   \* MERGEFORMAT </w:instrText>
    </w:r>
    <w:r>
      <w:fldChar w:fldCharType="separate"/>
    </w:r>
    <w:r w:rsidR="006E4C09">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E47529" w:rsidRDefault="00E47529">
    <w:pPr>
      <w:pStyle w:val="Footer"/>
      <w:tabs>
        <w:tab w:val="clear" w:pos="4680"/>
      </w:tabs>
      <w:spacing w:line="200" w:lineRule="exact"/>
      <w:jc w:val="center"/>
    </w:pPr>
    <w:r>
      <w:fldChar w:fldCharType="begin"/>
    </w:r>
    <w:r>
      <w:instrText xml:space="preserve"> PAGE   \* MERGEFORMAT </w:instrText>
    </w:r>
    <w:r>
      <w:fldChar w:fldCharType="separate"/>
    </w:r>
    <w:r w:rsidR="006E4C09">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E47529" w:rsidRDefault="00E47529">
    <w:pPr>
      <w:pStyle w:val="Footer"/>
      <w:tabs>
        <w:tab w:val="clear" w:pos="4680"/>
      </w:tabs>
      <w:spacing w:line="200" w:lineRule="exact"/>
      <w:jc w:val="center"/>
    </w:pPr>
    <w:r>
      <w:fldChar w:fldCharType="begin"/>
    </w:r>
    <w:r>
      <w:instrText xml:space="preserve"> PAGE   \* MERGEFORMAT </w:instrText>
    </w:r>
    <w:r>
      <w:fldChar w:fldCharType="separate"/>
    </w:r>
    <w:r w:rsidR="006E4C09">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E47529" w:rsidRDefault="00E47529">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6E4C09">
      <w:rPr>
        <w:noProof/>
      </w:rPr>
      <w:t>33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E47529" w:rsidRDefault="00E47529">
    <w:pPr>
      <w:pStyle w:val="Footer"/>
      <w:spacing w:line="200" w:lineRule="exact"/>
      <w:jc w:val="center"/>
    </w:pPr>
    <w:r>
      <w:fldChar w:fldCharType="begin"/>
    </w:r>
    <w:r>
      <w:instrText xml:space="preserve"> PAGE   \* MERGEFORMAT </w:instrText>
    </w:r>
    <w:r>
      <w:fldChar w:fldCharType="separate"/>
    </w:r>
    <w:r w:rsidR="006E4C09">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E47529" w:rsidRDefault="00E47529">
    <w:pPr>
      <w:pStyle w:val="Footer"/>
      <w:tabs>
        <w:tab w:val="clear" w:pos="4680"/>
      </w:tabs>
      <w:spacing w:line="200" w:lineRule="exact"/>
      <w:jc w:val="center"/>
    </w:pPr>
  </w:p>
  <w:p w14:paraId="4A3D38B9" w14:textId="77777777" w:rsidR="00E47529" w:rsidRDefault="00E47529">
    <w:pPr>
      <w:pStyle w:val="Footer"/>
      <w:tabs>
        <w:tab w:val="clear" w:pos="4680"/>
      </w:tabs>
      <w:spacing w:line="200" w:lineRule="exact"/>
      <w:jc w:val="center"/>
    </w:pPr>
    <w:r>
      <w:fldChar w:fldCharType="begin"/>
    </w:r>
    <w:r>
      <w:instrText xml:space="preserve"> PAGE   \* MERGEFORMAT </w:instrText>
    </w:r>
    <w:r>
      <w:fldChar w:fldCharType="separate"/>
    </w:r>
    <w:r w:rsidR="006E4C09">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E47529" w:rsidRDefault="00E47529">
    <w:pPr>
      <w:pStyle w:val="Footer"/>
      <w:tabs>
        <w:tab w:val="clear" w:pos="4680"/>
      </w:tabs>
      <w:spacing w:line="200" w:lineRule="exact"/>
      <w:jc w:val="center"/>
    </w:pPr>
    <w:r>
      <w:fldChar w:fldCharType="begin"/>
    </w:r>
    <w:r>
      <w:instrText xml:space="preserve"> PAGE   \* MERGEFORMAT </w:instrText>
    </w:r>
    <w:r>
      <w:fldChar w:fldCharType="separate"/>
    </w:r>
    <w:r w:rsidR="006E4C09">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E47529" w:rsidRDefault="00E47529">
    <w:pPr>
      <w:pStyle w:val="Footer"/>
      <w:spacing w:line="200" w:lineRule="exact"/>
      <w:jc w:val="center"/>
    </w:pPr>
    <w:r>
      <w:fldChar w:fldCharType="begin"/>
    </w:r>
    <w:r>
      <w:instrText xml:space="preserve"> PAGE   \* MERGEFORMAT </w:instrText>
    </w:r>
    <w:r>
      <w:fldChar w:fldCharType="separate"/>
    </w:r>
    <w:r w:rsidR="006E4C09">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E47529" w:rsidRDefault="00E47529">
    <w:pPr>
      <w:pStyle w:val="Footer"/>
      <w:spacing w:line="200" w:lineRule="exact"/>
      <w:jc w:val="center"/>
    </w:pPr>
    <w:r>
      <w:fldChar w:fldCharType="begin"/>
    </w:r>
    <w:r>
      <w:instrText xml:space="preserve"> PAGE   \* MERGEFORMAT </w:instrText>
    </w:r>
    <w:r>
      <w:fldChar w:fldCharType="separate"/>
    </w:r>
    <w:r w:rsidR="006E4C09">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E47529" w:rsidRDefault="00E47529">
    <w:pPr>
      <w:pStyle w:val="Footer"/>
      <w:tabs>
        <w:tab w:val="clear" w:pos="4680"/>
      </w:tabs>
      <w:spacing w:line="200" w:lineRule="exact"/>
      <w:jc w:val="center"/>
    </w:pPr>
    <w:r>
      <w:fldChar w:fldCharType="begin"/>
    </w:r>
    <w:r>
      <w:instrText xml:space="preserve"> PAGE   \* MERGEFORMAT </w:instrText>
    </w:r>
    <w:r>
      <w:fldChar w:fldCharType="separate"/>
    </w:r>
    <w:r w:rsidR="006E4C09">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E47529" w:rsidRDefault="00E47529">
    <w:pPr>
      <w:pStyle w:val="Footer"/>
      <w:tabs>
        <w:tab w:val="clear" w:pos="4680"/>
      </w:tabs>
      <w:spacing w:line="200" w:lineRule="exact"/>
      <w:jc w:val="center"/>
    </w:pPr>
    <w:r>
      <w:fldChar w:fldCharType="begin"/>
    </w:r>
    <w:r>
      <w:instrText xml:space="preserve"> PAGE   \* MERGEFORMAT </w:instrText>
    </w:r>
    <w:r>
      <w:fldChar w:fldCharType="separate"/>
    </w:r>
    <w:r w:rsidR="006E4C09">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A2C815" w14:textId="77777777" w:rsidR="00E47529" w:rsidRDefault="00E47529">
      <w:r>
        <w:separator/>
      </w:r>
    </w:p>
  </w:footnote>
  <w:footnote w:type="continuationSeparator" w:id="0">
    <w:p w14:paraId="189A43B6" w14:textId="77777777" w:rsidR="00E47529" w:rsidRDefault="00E475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E47529" w:rsidRDefault="00E47529">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E47529" w:rsidRDefault="00E47529">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77777777" w:rsidR="00E47529" w:rsidRDefault="00E47529">
    <w:pPr>
      <w:pStyle w:val="Header"/>
      <w:rPr>
        <w:i/>
      </w:rPr>
    </w:pPr>
    <w:r>
      <w:tab/>
    </w:r>
    <w:r>
      <w:tab/>
    </w:r>
    <w:r>
      <w:rPr>
        <w:i/>
        <w:sz w:val="16"/>
        <w:szCs w:val="16"/>
      </w:rPr>
      <w:t>NEW GTLD AGREEMENT SPECIFICATIONS</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E47529" w:rsidRDefault="00E4752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E47529" w:rsidRDefault="00E4752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E47529" w:rsidRDefault="00E4752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E47529" w:rsidRDefault="00E4752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E47529" w:rsidRDefault="00E47529">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E47529" w:rsidRDefault="00E47529">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E47529" w:rsidRDefault="00E47529">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E47529" w:rsidRDefault="00E47529">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E47529" w:rsidRDefault="00E4752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activeWritingStyle w:appName="MSWord" w:lang="en-US" w:vendorID="64" w:dllVersion="131078" w:nlCheck="1" w:checkStyle="1"/>
  <w:proofState w:spelling="clean" w:grammar="clean"/>
  <w:doNotTrackMoves/>
  <w:documentProtection w:edit="readOnly" w:enforcement="1" w:cryptProviderType="rsaFull" w:cryptAlgorithmClass="hash" w:cryptAlgorithmType="typeAny" w:cryptAlgorithmSid="4" w:cryptSpinCount="100000" w:hash="yeLnsm0kRIA0K5xapCFajRGFS2A=" w:salt="rKXlvH7giVTWzXf5qlBFIg=="/>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1BE9"/>
    <w:rsid w:val="00022DF2"/>
    <w:rsid w:val="00043C53"/>
    <w:rsid w:val="00050F49"/>
    <w:rsid w:val="00070003"/>
    <w:rsid w:val="000E753A"/>
    <w:rsid w:val="001112EB"/>
    <w:rsid w:val="00115B11"/>
    <w:rsid w:val="00116751"/>
    <w:rsid w:val="001171A6"/>
    <w:rsid w:val="001308BD"/>
    <w:rsid w:val="001372EE"/>
    <w:rsid w:val="00172425"/>
    <w:rsid w:val="00197BA8"/>
    <w:rsid w:val="001A750A"/>
    <w:rsid w:val="001C55C5"/>
    <w:rsid w:val="001D0A5A"/>
    <w:rsid w:val="00221DBC"/>
    <w:rsid w:val="00260BF8"/>
    <w:rsid w:val="002B30B6"/>
    <w:rsid w:val="002D622A"/>
    <w:rsid w:val="003248F3"/>
    <w:rsid w:val="0034296A"/>
    <w:rsid w:val="003555CF"/>
    <w:rsid w:val="003A3063"/>
    <w:rsid w:val="003A33D2"/>
    <w:rsid w:val="003A582D"/>
    <w:rsid w:val="003B3282"/>
    <w:rsid w:val="003E6F6B"/>
    <w:rsid w:val="003F1ECD"/>
    <w:rsid w:val="00410C40"/>
    <w:rsid w:val="0043267D"/>
    <w:rsid w:val="00442E65"/>
    <w:rsid w:val="004520B6"/>
    <w:rsid w:val="0046082C"/>
    <w:rsid w:val="00460FC4"/>
    <w:rsid w:val="00482F08"/>
    <w:rsid w:val="004862ED"/>
    <w:rsid w:val="00490E20"/>
    <w:rsid w:val="004A42C0"/>
    <w:rsid w:val="004A70AB"/>
    <w:rsid w:val="004D3240"/>
    <w:rsid w:val="005229EC"/>
    <w:rsid w:val="00527602"/>
    <w:rsid w:val="005332B6"/>
    <w:rsid w:val="00554168"/>
    <w:rsid w:val="005D4FE5"/>
    <w:rsid w:val="005D6885"/>
    <w:rsid w:val="006251CC"/>
    <w:rsid w:val="0069064E"/>
    <w:rsid w:val="006D627D"/>
    <w:rsid w:val="006E4C09"/>
    <w:rsid w:val="00714CD6"/>
    <w:rsid w:val="00736102"/>
    <w:rsid w:val="007430A6"/>
    <w:rsid w:val="00762219"/>
    <w:rsid w:val="00781CD6"/>
    <w:rsid w:val="007D2E95"/>
    <w:rsid w:val="007D68BC"/>
    <w:rsid w:val="007E0D6B"/>
    <w:rsid w:val="007F0922"/>
    <w:rsid w:val="0082394D"/>
    <w:rsid w:val="00825554"/>
    <w:rsid w:val="008562E8"/>
    <w:rsid w:val="0086165B"/>
    <w:rsid w:val="00870E20"/>
    <w:rsid w:val="008B472D"/>
    <w:rsid w:val="009250C2"/>
    <w:rsid w:val="00947855"/>
    <w:rsid w:val="00973E5D"/>
    <w:rsid w:val="009963F6"/>
    <w:rsid w:val="009A7216"/>
    <w:rsid w:val="009C655C"/>
    <w:rsid w:val="009C6F01"/>
    <w:rsid w:val="009D30B5"/>
    <w:rsid w:val="009F7C4C"/>
    <w:rsid w:val="00A01BAD"/>
    <w:rsid w:val="00A156E0"/>
    <w:rsid w:val="00A329C6"/>
    <w:rsid w:val="00A33CF2"/>
    <w:rsid w:val="00A41F74"/>
    <w:rsid w:val="00A51A99"/>
    <w:rsid w:val="00AB095D"/>
    <w:rsid w:val="00AB7343"/>
    <w:rsid w:val="00AD5069"/>
    <w:rsid w:val="00AE74CB"/>
    <w:rsid w:val="00AF2699"/>
    <w:rsid w:val="00B00719"/>
    <w:rsid w:val="00B05626"/>
    <w:rsid w:val="00B444C0"/>
    <w:rsid w:val="00B76112"/>
    <w:rsid w:val="00B84D31"/>
    <w:rsid w:val="00B93962"/>
    <w:rsid w:val="00BB03C2"/>
    <w:rsid w:val="00BC0CA9"/>
    <w:rsid w:val="00BF2B5B"/>
    <w:rsid w:val="00BF7BD1"/>
    <w:rsid w:val="00C302DC"/>
    <w:rsid w:val="00C314DA"/>
    <w:rsid w:val="00C37245"/>
    <w:rsid w:val="00C47078"/>
    <w:rsid w:val="00C632D7"/>
    <w:rsid w:val="00C80635"/>
    <w:rsid w:val="00C84E8B"/>
    <w:rsid w:val="00C94836"/>
    <w:rsid w:val="00D6646D"/>
    <w:rsid w:val="00DC04AA"/>
    <w:rsid w:val="00DC4638"/>
    <w:rsid w:val="00DC4F22"/>
    <w:rsid w:val="00DF16A8"/>
    <w:rsid w:val="00DF5F88"/>
    <w:rsid w:val="00DF6C9B"/>
    <w:rsid w:val="00E17C76"/>
    <w:rsid w:val="00E47529"/>
    <w:rsid w:val="00E657F6"/>
    <w:rsid w:val="00E746BC"/>
    <w:rsid w:val="00E9743A"/>
    <w:rsid w:val="00EE356C"/>
    <w:rsid w:val="00EE4804"/>
    <w:rsid w:val="00EE7092"/>
    <w:rsid w:val="00F24E9B"/>
    <w:rsid w:val="00F72D28"/>
    <w:rsid w:val="00FA3067"/>
    <w:rsid w:val="00FB2413"/>
    <w:rsid w:val="00FC6603"/>
    <w:rsid w:val="00FE7592"/>
    <w:rsid w:val="00FF2E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header" Target="header12.xml"/><Relationship Id="rId21" Type="http://schemas.openxmlformats.org/officeDocument/2006/relationships/header" Target="header6.xml"/><Relationship Id="rId34" Type="http://schemas.openxmlformats.org/officeDocument/2006/relationships/header" Target="header10.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yperlink" Target="http://www.icann.org/en/groups/board/documents/resolutions-new-gtld-annex-1-07oct13-en.pdf%3E"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hyperlink" Target="http://www.icann.org/en/resources/registries/rrdrp" TargetMode="External"/><Relationship Id="rId37" Type="http://schemas.openxmlformats.org/officeDocument/2006/relationships/footer" Target="footer14.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header" Target="header11.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yperlink" Target="http://www.icann.org/en/resources/registries/pddrp"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hyperlink" Target="http://www.icann.org/en/resources/registries/tmch-requirements" TargetMode="External"/><Relationship Id="rId35" Type="http://schemas.openxmlformats.org/officeDocument/2006/relationships/footer" Target="footer13.xml"/><Relationship Id="rId8" Type="http://schemas.openxmlformats.org/officeDocument/2006/relationships/footer" Target="footer1.xml"/><Relationship Id="rId3" Type="http://schemas.microsoft.com/office/2007/relationships/stylesWithEffects" Target="stylesWithEffect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yperlink" Target="http://www.icann.org/en/resources/registries/urs" TargetMode="External"/><Relationship Id="rId38" Type="http://schemas.openxmlformats.org/officeDocument/2006/relationships/hyperlink" Target="http://www.icann.org/en/resources/registries/picd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89</Pages>
  <Words>33140</Words>
  <Characters>188899</Characters>
  <Application>Microsoft Office Word</Application>
  <DocSecurity>8</DocSecurity>
  <Lines>1574</Lines>
  <Paragraphs>443</Paragraphs>
  <ScaleCrop>false</ScaleCrop>
  <Manager/>
  <Company/>
  <LinksUpToDate>false</LinksUpToDate>
  <CharactersWithSpaces>221596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2014-05-20T22:06:00Z</dcterms:created>
  <dcterms:modified xsi:type="dcterms:W3CDTF">2014-05-20T22:06:00Z</dcterms:modified>
  <cp:contentStatus/>
</cp:coreProperties>
</file>