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2D390928" w:rsidR="00B8520C" w:rsidRDefault="00B8520C" w:rsidP="00B8520C">
      <w:pPr>
        <w:pStyle w:val="BodyText"/>
        <w:rPr>
          <w:rFonts w:asciiTheme="majorHAnsi" w:hAnsiTheme="majorHAnsi"/>
          <w:sz w:val="24"/>
          <w:szCs w:val="24"/>
        </w:rPr>
      </w:pPr>
      <w:r>
        <w:rPr>
          <w:rFonts w:asciiTheme="majorHAnsi" w:hAnsiTheme="majorHAnsi"/>
          <w:sz w:val="24"/>
          <w:szCs w:val="24"/>
        </w:rPr>
        <w:t>This REGISTRY AGREEMENT (this “Agreement”) is entered into as of _________________ (the “Effective Date”) between Internet Corpor</w:t>
      </w:r>
      <w:bookmarkStart w:id="0" w:name="_GoBack"/>
      <w:bookmarkEnd w:id="0"/>
      <w:r>
        <w:rPr>
          <w:rFonts w:asciiTheme="majorHAnsi" w:hAnsiTheme="majorHAnsi"/>
          <w:sz w:val="24"/>
          <w:szCs w:val="24"/>
        </w:rPr>
        <w:t xml:space="preserve">ation for Assigned Names and Numbers, a California nonprofit public benefit corporation (“ICANN”), and </w:t>
      </w:r>
      <w:r w:rsidR="00D56299">
        <w:rPr>
          <w:rFonts w:asciiTheme="majorHAnsi" w:hAnsiTheme="majorHAnsi"/>
          <w:sz w:val="24"/>
          <w:szCs w:val="24"/>
        </w:rPr>
        <w:t>Industrial and Commercial Bank of China Limited</w:t>
      </w:r>
      <w:r w:rsidR="006D611C">
        <w:rPr>
          <w:rFonts w:asciiTheme="majorHAnsi" w:hAnsiTheme="majorHAnsi"/>
          <w:sz w:val="24"/>
          <w:szCs w:val="24"/>
        </w:rPr>
        <w:t xml:space="preserve">, a </w:t>
      </w:r>
      <w:r w:rsidR="00C446F3">
        <w:rPr>
          <w:rFonts w:asciiTheme="majorHAnsi" w:hAnsiTheme="majorHAnsi"/>
          <w:sz w:val="24"/>
          <w:szCs w:val="24"/>
        </w:rPr>
        <w:t>company formed under the laws of the People’s Republic of China</w:t>
      </w:r>
      <w:r w:rsidR="006D611C">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70111F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56299" w:rsidRPr="00D56299">
        <w:rPr>
          <w:rFonts w:asciiTheme="majorHAnsi" w:eastAsia="DFKai-SB" w:hAnsiTheme="majorHAnsi" w:cs="Helvetica"/>
          <w:b/>
          <w:szCs w:val="24"/>
        </w:rPr>
        <w:t>xn--estv75g</w:t>
      </w:r>
      <w:r w:rsidR="00D56299" w:rsidRPr="0002379D">
        <w:rPr>
          <w:rFonts w:asciiTheme="majorHAnsi" w:eastAsia="DFKai-SB" w:hAnsiTheme="majorHAnsi" w:cs="Courier"/>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5167D9" w14:textId="77777777" w:rsidR="00AA6C8C"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4BF1602B" w14:textId="77777777" w:rsidR="00AA6C8C" w:rsidRPr="00AA6C8C" w:rsidRDefault="00AA6C8C" w:rsidP="00AA6C8C">
      <w:pPr>
        <w:rPr>
          <w:rFonts w:asciiTheme="majorHAnsi" w:hAnsiTheme="majorHAnsi"/>
          <w:sz w:val="24"/>
          <w:szCs w:val="24"/>
        </w:rPr>
      </w:pP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w:t>
      </w:r>
      <w:r>
        <w:rPr>
          <w:rFonts w:asciiTheme="majorHAnsi" w:hAnsiTheme="majorHAnsi"/>
          <w:szCs w:val="24"/>
        </w:rPr>
        <w:lastRenderedPageBreak/>
        <w:t xml:space="preserve">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w:t>
      </w:r>
      <w:r>
        <w:rPr>
          <w:rFonts w:asciiTheme="majorHAnsi" w:hAnsiTheme="majorHAnsi"/>
          <w:szCs w:val="24"/>
        </w:rPr>
        <w:lastRenderedPageBreak/>
        <w:t xml:space="preserve">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w:t>
      </w:r>
      <w:r>
        <w:rPr>
          <w:rFonts w:asciiTheme="majorHAnsi" w:hAnsiTheme="majorHAnsi"/>
          <w:szCs w:val="24"/>
        </w:rPr>
        <w:lastRenderedPageBreak/>
        <w:t>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w:t>
      </w:r>
      <w:r>
        <w:rPr>
          <w:rFonts w:asciiTheme="majorHAnsi" w:hAnsiTheme="majorHAnsi"/>
          <w:szCs w:val="24"/>
        </w:rPr>
        <w:lastRenderedPageBreak/>
        <w:t>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w:t>
      </w:r>
      <w:r>
        <w:rPr>
          <w:rFonts w:asciiTheme="majorHAnsi" w:hAnsiTheme="majorHAnsi"/>
          <w:szCs w:val="24"/>
        </w:rPr>
        <w:lastRenderedPageBreak/>
        <w:t>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w:t>
      </w:r>
      <w:r>
        <w:rPr>
          <w:rFonts w:asciiTheme="majorHAnsi" w:hAnsiTheme="majorHAnsi"/>
          <w:szCs w:val="24"/>
        </w:rPr>
        <w:lastRenderedPageBreak/>
        <w:t>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w:t>
      </w:r>
      <w:r>
        <w:rPr>
          <w:rFonts w:asciiTheme="majorHAnsi" w:hAnsiTheme="majorHAnsi"/>
          <w:szCs w:val="24"/>
        </w:rPr>
        <w:lastRenderedPageBreak/>
        <w:t xml:space="preserve">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w:t>
      </w:r>
      <w:r>
        <w:rPr>
          <w:rFonts w:asciiTheme="majorHAnsi" w:hAnsiTheme="majorHAnsi"/>
          <w:szCs w:val="24"/>
        </w:rPr>
        <w:lastRenderedPageBreak/>
        <w:t xml:space="preserve">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 xml:space="preserve">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lastRenderedPageBreak/>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w:t>
      </w:r>
      <w:r>
        <w:rPr>
          <w:rFonts w:asciiTheme="majorHAnsi" w:hAnsiTheme="majorHAnsi"/>
          <w:szCs w:val="24"/>
        </w:rPr>
        <w:lastRenderedPageBreak/>
        <w:t>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lastRenderedPageBreak/>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w:t>
      </w:r>
      <w:r>
        <w:rPr>
          <w:rFonts w:asciiTheme="majorHAnsi" w:hAnsiTheme="majorHAnsi"/>
          <w:szCs w:val="24"/>
        </w:rPr>
        <w:lastRenderedPageBreak/>
        <w:t xml:space="preserve">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w:t>
      </w:r>
      <w:r>
        <w:rPr>
          <w:rFonts w:asciiTheme="majorHAnsi" w:hAnsiTheme="majorHAnsi"/>
          <w:szCs w:val="24"/>
        </w:rPr>
        <w:lastRenderedPageBreak/>
        <w:t xml:space="preserve">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2DCBE61" w14:textId="77777777" w:rsidR="00370DB8" w:rsidRPr="00370DB8" w:rsidRDefault="00370DB8" w:rsidP="00370DB8">
      <w:pPr>
        <w:pStyle w:val="BodyText"/>
      </w:pP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lastRenderedPageBreak/>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w:t>
      </w:r>
      <w:r>
        <w:rPr>
          <w:rFonts w:asciiTheme="majorHAnsi" w:hAnsiTheme="majorHAnsi"/>
          <w:szCs w:val="24"/>
        </w:rPr>
        <w:lastRenderedPageBreak/>
        <w:t>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3E04C45E" w14:textId="4F3BDB86" w:rsidR="00D56299" w:rsidRDefault="005332B6" w:rsidP="00D56299">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C74E4E">
        <w:rPr>
          <w:rFonts w:asciiTheme="majorHAnsi" w:hAnsiTheme="majorHAnsi"/>
          <w:sz w:val="24"/>
          <w:szCs w:val="24"/>
        </w:rPr>
        <w:t>If to Registry Operator, addressed to:</w:t>
      </w:r>
      <w:r w:rsidR="00A12CFF" w:rsidRPr="00C74E4E">
        <w:rPr>
          <w:rFonts w:asciiTheme="majorHAnsi" w:hAnsiTheme="majorHAnsi"/>
          <w:sz w:val="24"/>
          <w:szCs w:val="24"/>
        </w:rPr>
        <w:br/>
      </w:r>
      <w:r w:rsidR="00D56299" w:rsidRPr="00D56299">
        <w:rPr>
          <w:rFonts w:asciiTheme="majorHAnsi" w:hAnsiTheme="majorHAnsi"/>
          <w:sz w:val="24"/>
          <w:szCs w:val="24"/>
        </w:rPr>
        <w:lastRenderedPageBreak/>
        <w:t>Industrial and Commercial Bank of China Limited</w:t>
      </w:r>
      <w:r w:rsidR="00934DEB" w:rsidRPr="00D56299">
        <w:rPr>
          <w:rFonts w:asciiTheme="majorHAnsi" w:hAnsiTheme="majorHAnsi"/>
          <w:sz w:val="24"/>
          <w:szCs w:val="24"/>
        </w:rPr>
        <w:br/>
      </w:r>
      <w:r w:rsidR="00D56299" w:rsidRPr="00D56299">
        <w:rPr>
          <w:rFonts w:asciiTheme="majorHAnsi" w:eastAsia="DFKai-SB" w:hAnsiTheme="majorHAnsi" w:cs="Arial"/>
          <w:color w:val="1A1A1A"/>
          <w:sz w:val="24"/>
          <w:szCs w:val="24"/>
        </w:rPr>
        <w:t>15F</w:t>
      </w:r>
      <w:r w:rsidR="00D56299">
        <w:rPr>
          <w:rFonts w:asciiTheme="majorHAnsi" w:eastAsia="DFKai-SB" w:hAnsiTheme="majorHAnsi" w:cs="Arial"/>
          <w:color w:val="1A1A1A"/>
          <w:sz w:val="24"/>
          <w:szCs w:val="24"/>
        </w:rPr>
        <w:t xml:space="preserve">, </w:t>
      </w:r>
      <w:r w:rsidR="00D56299" w:rsidRPr="00D56299">
        <w:rPr>
          <w:rFonts w:asciiTheme="majorHAnsi" w:eastAsia="DFKai-SB" w:hAnsiTheme="majorHAnsi" w:cs="Arial"/>
          <w:color w:val="1A1A1A"/>
          <w:sz w:val="24"/>
          <w:szCs w:val="24"/>
        </w:rPr>
        <w:t>Tower</w:t>
      </w:r>
      <w:r w:rsidR="00D56299">
        <w:rPr>
          <w:rFonts w:asciiTheme="majorHAnsi" w:eastAsia="DFKai-SB" w:hAnsiTheme="majorHAnsi" w:cs="Arial"/>
          <w:color w:val="1A1A1A"/>
          <w:sz w:val="24"/>
          <w:szCs w:val="24"/>
        </w:rPr>
        <w:t xml:space="preserve"> D, Desheng Intenational Center</w:t>
      </w:r>
    </w:p>
    <w:p w14:paraId="211A3D35" w14:textId="629498DC" w:rsidR="00D56299" w:rsidRPr="00D56299" w:rsidRDefault="00D56299" w:rsidP="00D56299">
      <w:pPr>
        <w:widowControl w:val="0"/>
        <w:autoSpaceDE w:val="0"/>
        <w:autoSpaceDN w:val="0"/>
        <w:adjustRightInd w:val="0"/>
        <w:ind w:left="1440"/>
        <w:rPr>
          <w:rFonts w:asciiTheme="majorHAnsi" w:eastAsia="DFKai-SB" w:hAnsiTheme="majorHAnsi" w:cs="Arial"/>
          <w:color w:val="1A1A1A"/>
          <w:sz w:val="24"/>
          <w:szCs w:val="24"/>
        </w:rPr>
      </w:pPr>
      <w:r w:rsidRPr="00D56299">
        <w:rPr>
          <w:rFonts w:asciiTheme="majorHAnsi" w:eastAsia="DFKai-SB" w:hAnsiTheme="majorHAnsi" w:cs="Arial"/>
          <w:color w:val="1A1A1A"/>
          <w:sz w:val="24"/>
          <w:szCs w:val="24"/>
        </w:rPr>
        <w:t>No.77 DeshengMenWai Avenue, Xicheng District</w:t>
      </w:r>
    </w:p>
    <w:p w14:paraId="6F5FBAF0" w14:textId="77777777" w:rsidR="00D56299" w:rsidRPr="00D56299" w:rsidRDefault="00D56299" w:rsidP="00D56299">
      <w:pPr>
        <w:widowControl w:val="0"/>
        <w:autoSpaceDE w:val="0"/>
        <w:autoSpaceDN w:val="0"/>
        <w:adjustRightInd w:val="0"/>
        <w:ind w:left="1440"/>
        <w:rPr>
          <w:rFonts w:asciiTheme="majorHAnsi" w:eastAsia="DFKai-SB" w:hAnsiTheme="majorHAnsi" w:cs="Arial"/>
          <w:color w:val="1A1A1A"/>
          <w:sz w:val="24"/>
          <w:szCs w:val="24"/>
        </w:rPr>
      </w:pPr>
      <w:r w:rsidRPr="00D56299">
        <w:rPr>
          <w:rFonts w:asciiTheme="majorHAnsi" w:eastAsia="DFKai-SB" w:hAnsiTheme="majorHAnsi" w:cs="Arial"/>
          <w:color w:val="1A1A1A"/>
          <w:sz w:val="24"/>
          <w:szCs w:val="24"/>
        </w:rPr>
        <w:t>Beijing 100088</w:t>
      </w:r>
    </w:p>
    <w:p w14:paraId="5493A8E5" w14:textId="23052A5B" w:rsidR="00934DEB" w:rsidRPr="00D56299" w:rsidRDefault="00D56299" w:rsidP="00D56299">
      <w:pPr>
        <w:widowControl w:val="0"/>
        <w:autoSpaceDE w:val="0"/>
        <w:autoSpaceDN w:val="0"/>
        <w:adjustRightInd w:val="0"/>
        <w:ind w:left="1440"/>
        <w:rPr>
          <w:rFonts w:asciiTheme="majorHAnsi" w:hAnsiTheme="majorHAnsi"/>
          <w:sz w:val="24"/>
          <w:szCs w:val="24"/>
        </w:rPr>
      </w:pPr>
      <w:r w:rsidRPr="00D56299">
        <w:rPr>
          <w:rFonts w:asciiTheme="majorHAnsi" w:eastAsia="DFKai-SB" w:hAnsiTheme="majorHAnsi" w:cs="Arial"/>
          <w:color w:val="1A1A1A"/>
          <w:sz w:val="24"/>
          <w:szCs w:val="24"/>
        </w:rPr>
        <w:t>CN</w:t>
      </w:r>
      <w:r w:rsidR="00C74E4E" w:rsidRPr="00D56299">
        <w:rPr>
          <w:rFonts w:asciiTheme="majorHAnsi" w:eastAsia="DFKai-SB" w:hAnsiTheme="majorHAnsi" w:cs="Arial"/>
          <w:sz w:val="24"/>
          <w:szCs w:val="24"/>
        </w:rPr>
        <w:tab/>
      </w:r>
    </w:p>
    <w:p w14:paraId="214A004F" w14:textId="33C39720" w:rsidR="004604C8" w:rsidRPr="00D56299" w:rsidRDefault="00934DEB" w:rsidP="00934DEB">
      <w:pPr>
        <w:pStyle w:val="BodyTextIndent"/>
        <w:spacing w:after="0"/>
        <w:rPr>
          <w:rFonts w:asciiTheme="majorHAnsi" w:eastAsia="DFKai-SB" w:hAnsiTheme="majorHAnsi" w:cs="Arial"/>
          <w:sz w:val="24"/>
          <w:szCs w:val="24"/>
        </w:rPr>
      </w:pPr>
      <w:r w:rsidRPr="00D56299">
        <w:rPr>
          <w:rFonts w:asciiTheme="majorHAnsi" w:hAnsiTheme="majorHAnsi"/>
          <w:sz w:val="24"/>
          <w:szCs w:val="24"/>
        </w:rPr>
        <w:t>Telephone:  +</w:t>
      </w:r>
      <w:r w:rsidR="006D611C" w:rsidRPr="00D56299">
        <w:rPr>
          <w:rFonts w:asciiTheme="majorHAnsi" w:eastAsia="DFKai-SB" w:hAnsiTheme="majorHAnsi" w:cs="Arial"/>
          <w:sz w:val="24"/>
          <w:szCs w:val="24"/>
        </w:rPr>
        <w:t xml:space="preserve"> </w:t>
      </w:r>
      <w:r w:rsidR="00D56299" w:rsidRPr="00D56299">
        <w:rPr>
          <w:rFonts w:asciiTheme="majorHAnsi" w:eastAsia="DFKai-SB" w:hAnsiTheme="majorHAnsi" w:cs="Arial"/>
          <w:color w:val="1A1A1A"/>
          <w:sz w:val="24"/>
          <w:szCs w:val="24"/>
        </w:rPr>
        <w:t>86-10-82096408</w:t>
      </w:r>
    </w:p>
    <w:p w14:paraId="3FC33C19" w14:textId="57E9786E" w:rsidR="00934DEB" w:rsidRPr="00D56299" w:rsidRDefault="001507D4" w:rsidP="00934DEB">
      <w:pPr>
        <w:pStyle w:val="BodyTextIndent"/>
        <w:spacing w:after="0"/>
        <w:rPr>
          <w:rFonts w:asciiTheme="majorHAnsi" w:eastAsia="DFKai-SB" w:hAnsiTheme="majorHAnsi" w:cs="Arial"/>
          <w:sz w:val="24"/>
          <w:szCs w:val="24"/>
        </w:rPr>
      </w:pPr>
      <w:r w:rsidRPr="00D56299">
        <w:rPr>
          <w:rFonts w:asciiTheme="majorHAnsi" w:hAnsiTheme="majorHAnsi"/>
          <w:sz w:val="24"/>
          <w:szCs w:val="24"/>
        </w:rPr>
        <w:t>Facsimile:  +</w:t>
      </w:r>
      <w:r w:rsidRPr="00D56299">
        <w:rPr>
          <w:rFonts w:asciiTheme="majorHAnsi" w:eastAsia="DFKai-SB" w:hAnsiTheme="majorHAnsi" w:cs="Arial"/>
          <w:sz w:val="24"/>
          <w:szCs w:val="24"/>
        </w:rPr>
        <w:t xml:space="preserve"> </w:t>
      </w:r>
      <w:r w:rsidR="00D56299" w:rsidRPr="00D56299">
        <w:rPr>
          <w:rFonts w:asciiTheme="majorHAnsi" w:eastAsia="DFKai-SB" w:hAnsiTheme="majorHAnsi" w:cs="Arial"/>
          <w:color w:val="1A1A1A"/>
          <w:sz w:val="24"/>
          <w:szCs w:val="24"/>
        </w:rPr>
        <w:t>86-10-82096262</w:t>
      </w:r>
      <w:r w:rsidR="00934DEB" w:rsidRPr="00D56299">
        <w:rPr>
          <w:rFonts w:asciiTheme="majorHAnsi" w:hAnsiTheme="majorHAnsi"/>
          <w:sz w:val="24"/>
          <w:szCs w:val="24"/>
        </w:rPr>
        <w:br/>
        <w:t xml:space="preserve">Attention:  </w:t>
      </w:r>
      <w:r w:rsidR="00D56299" w:rsidRPr="00D56299">
        <w:rPr>
          <w:rFonts w:asciiTheme="majorHAnsi" w:eastAsia="DFKai-SB" w:hAnsiTheme="majorHAnsi" w:cs="Arial"/>
          <w:sz w:val="24"/>
          <w:szCs w:val="24"/>
        </w:rPr>
        <w:t>Qike Wang, Operation Manager</w:t>
      </w:r>
    </w:p>
    <w:p w14:paraId="3FE55BEE" w14:textId="044A68A2" w:rsidR="00934DEB" w:rsidRPr="00D56299" w:rsidRDefault="00934DEB" w:rsidP="00934DEB">
      <w:pPr>
        <w:pStyle w:val="BodyTextIndent"/>
        <w:rPr>
          <w:rFonts w:asciiTheme="majorHAnsi" w:hAnsiTheme="majorHAnsi"/>
          <w:sz w:val="24"/>
          <w:szCs w:val="24"/>
        </w:rPr>
      </w:pPr>
      <w:r w:rsidRPr="00D56299">
        <w:rPr>
          <w:rFonts w:asciiTheme="majorHAnsi" w:hAnsiTheme="majorHAnsi"/>
          <w:sz w:val="24"/>
          <w:szCs w:val="24"/>
        </w:rPr>
        <w:t xml:space="preserve">Email: </w:t>
      </w:r>
      <w:r w:rsidR="00D56299" w:rsidRPr="00D56299">
        <w:rPr>
          <w:rFonts w:asciiTheme="majorHAnsi" w:eastAsia="DFKai-SB" w:hAnsiTheme="majorHAnsi" w:cs="Arial"/>
          <w:color w:val="1A1A1A"/>
          <w:sz w:val="24"/>
          <w:szCs w:val="24"/>
        </w:rPr>
        <w:t>web@ebc.icbc.com.cn</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xml:space="preserve">.  ICANN will respect any order from a court of competent jurisdiction, including any orders from any jurisdiction where the consent or non-objection of the government was a requirement for the delegation of the TLD.  Notwithstanding any </w:t>
      </w:r>
      <w:r>
        <w:rPr>
          <w:rFonts w:asciiTheme="majorHAnsi" w:hAnsiTheme="majorHAnsi"/>
          <w:szCs w:val="24"/>
        </w:rPr>
        <w:lastRenderedPageBreak/>
        <w:t>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headerReference w:type="firs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Pr="000523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052311">
        <w:rPr>
          <w:rFonts w:asciiTheme="majorHAnsi" w:hAnsiTheme="majorHAnsi"/>
          <w:sz w:val="24"/>
          <w:szCs w:val="24"/>
        </w:rPr>
        <w:tab/>
      </w:r>
    </w:p>
    <w:p w14:paraId="2E51B317" w14:textId="2F47187C" w:rsidR="00934DEB" w:rsidRPr="00052311" w:rsidRDefault="00D56299" w:rsidP="00934DEB">
      <w:pPr>
        <w:pStyle w:val="BodyText"/>
        <w:rPr>
          <w:rFonts w:asciiTheme="majorHAnsi" w:hAnsiTheme="majorHAnsi"/>
          <w:b/>
          <w:sz w:val="24"/>
          <w:szCs w:val="24"/>
        </w:rPr>
      </w:pPr>
      <w:r>
        <w:rPr>
          <w:rFonts w:asciiTheme="majorHAnsi" w:hAnsiTheme="majorHAnsi"/>
          <w:b/>
          <w:sz w:val="24"/>
          <w:szCs w:val="24"/>
        </w:rPr>
        <w:t>INDUSTRIAL AND COMMERCIAL BANK OF CHINA LIMITED</w:t>
      </w:r>
      <w:r w:rsidR="00934DEB" w:rsidRPr="00052311">
        <w:rPr>
          <w:rFonts w:asciiTheme="majorHAnsi" w:hAnsiTheme="majorHAnsi"/>
          <w:b/>
          <w:sz w:val="24"/>
          <w:szCs w:val="24"/>
        </w:rPr>
        <w:t xml:space="preserve">  </w:t>
      </w:r>
    </w:p>
    <w:p w14:paraId="3DD342E2" w14:textId="2792CCC8" w:rsidR="00C12A27" w:rsidRPr="00D56299" w:rsidRDefault="00934DEB" w:rsidP="00C12A27">
      <w:pPr>
        <w:pStyle w:val="BodyTextIndent2"/>
        <w:rPr>
          <w:rFonts w:asciiTheme="majorHAnsi" w:eastAsia="DFKai-SB" w:hAnsiTheme="majorHAnsi" w:cs="Arial"/>
          <w:color w:val="1A1A1A"/>
          <w:sz w:val="24"/>
          <w:szCs w:val="24"/>
        </w:rPr>
      </w:pPr>
      <w:r w:rsidRPr="00052311">
        <w:rPr>
          <w:rFonts w:asciiTheme="majorHAnsi" w:hAnsiTheme="majorHAnsi"/>
          <w:sz w:val="24"/>
          <w:szCs w:val="24"/>
        </w:rPr>
        <w:t>By:</w:t>
      </w:r>
      <w:r w:rsidRPr="00052311">
        <w:rPr>
          <w:rFonts w:asciiTheme="majorHAnsi" w:hAnsiTheme="majorHAnsi"/>
          <w:sz w:val="24"/>
          <w:szCs w:val="24"/>
        </w:rPr>
        <w:tab/>
        <w:t>_____________________________</w:t>
      </w:r>
      <w:r w:rsidR="00052311" w:rsidRPr="00052311">
        <w:rPr>
          <w:rFonts w:asciiTheme="majorHAnsi" w:hAnsiTheme="majorHAnsi"/>
          <w:sz w:val="24"/>
          <w:szCs w:val="24"/>
        </w:rPr>
        <w:tab/>
      </w:r>
      <w:r w:rsidR="00052311" w:rsidRPr="00052311">
        <w:rPr>
          <w:rFonts w:asciiTheme="majorHAnsi" w:hAnsiTheme="majorHAnsi"/>
          <w:sz w:val="24"/>
          <w:szCs w:val="24"/>
        </w:rPr>
        <w:tab/>
      </w:r>
      <w:r w:rsidRPr="00052311">
        <w:rPr>
          <w:rFonts w:asciiTheme="majorHAnsi" w:hAnsiTheme="majorHAnsi"/>
          <w:sz w:val="24"/>
          <w:szCs w:val="24"/>
        </w:rPr>
        <w:br/>
      </w:r>
      <w:r w:rsidRPr="00D56299">
        <w:rPr>
          <w:rFonts w:asciiTheme="majorHAnsi" w:hAnsiTheme="majorHAnsi"/>
          <w:sz w:val="24"/>
          <w:szCs w:val="24"/>
        </w:rPr>
        <w:tab/>
      </w:r>
      <w:r w:rsidR="00D56299" w:rsidRPr="00D56299">
        <w:rPr>
          <w:rFonts w:asciiTheme="majorHAnsi" w:eastAsia="DFKai-SB" w:hAnsiTheme="majorHAnsi" w:cs="Arial"/>
          <w:color w:val="1A1A1A"/>
          <w:sz w:val="24"/>
          <w:szCs w:val="24"/>
        </w:rPr>
        <w:t>Benqi Hou</w:t>
      </w:r>
      <w:r w:rsidR="00C12A27" w:rsidRPr="00D56299">
        <w:rPr>
          <w:rFonts w:asciiTheme="majorHAnsi" w:eastAsia="DFKai-SB" w:hAnsiTheme="majorHAnsi" w:cs="Arial"/>
          <w:color w:val="1A1A1A"/>
          <w:sz w:val="24"/>
          <w:szCs w:val="24"/>
        </w:rPr>
        <w:t xml:space="preserve"> </w:t>
      </w:r>
    </w:p>
    <w:p w14:paraId="291A593F" w14:textId="1066C695" w:rsidR="00115B11" w:rsidRDefault="00C12A27" w:rsidP="00C12A27">
      <w:pPr>
        <w:pStyle w:val="BodyTextIndent2"/>
        <w:rPr>
          <w:rFonts w:asciiTheme="majorHAnsi" w:hAnsiTheme="majorHAnsi"/>
          <w:sz w:val="24"/>
          <w:szCs w:val="24"/>
        </w:rPr>
      </w:pPr>
      <w:r w:rsidRPr="00D56299">
        <w:rPr>
          <w:rFonts w:asciiTheme="majorHAnsi" w:eastAsia="DFKai-SB" w:hAnsiTheme="majorHAnsi" w:cs="Arial"/>
          <w:color w:val="1A1A1A"/>
          <w:sz w:val="24"/>
          <w:szCs w:val="24"/>
        </w:rPr>
        <w:tab/>
      </w:r>
      <w:r w:rsidR="00D56299" w:rsidRPr="00D56299">
        <w:rPr>
          <w:rFonts w:asciiTheme="majorHAnsi" w:eastAsia="DFKai-SB" w:hAnsiTheme="majorHAnsi" w:cs="Arial"/>
          <w:color w:val="1A1A1A"/>
          <w:sz w:val="24"/>
          <w:szCs w:val="24"/>
        </w:rPr>
        <w:t>General Manager, Electronic Banking Department of ICBC</w:t>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B4B0681" w14:textId="77777777" w:rsidR="00D56299" w:rsidRPr="007219B2" w:rsidRDefault="00D56299" w:rsidP="00D5629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845318C" w14:textId="77777777" w:rsidR="00D56299" w:rsidRPr="007219B2" w:rsidRDefault="00D56299" w:rsidP="00D56299">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18A818F" w14:textId="77777777" w:rsidR="00D56299" w:rsidRPr="007219B2" w:rsidRDefault="00D56299" w:rsidP="00D56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998F92E" w14:textId="77777777" w:rsidR="00D56299" w:rsidRPr="007219B2" w:rsidRDefault="00D56299" w:rsidP="00D56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C9C3653" w14:textId="77777777" w:rsidR="00D56299" w:rsidRPr="007219B2" w:rsidRDefault="00D56299" w:rsidP="00D56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FDCE093" w14:textId="77777777" w:rsidR="00D56299" w:rsidRPr="007219B2" w:rsidRDefault="00D56299" w:rsidP="00D56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7A039BF" w14:textId="77777777" w:rsidR="00D56299" w:rsidRPr="007219B2" w:rsidRDefault="00D56299" w:rsidP="00D56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8D44622" w14:textId="77777777" w:rsidR="00D56299" w:rsidRPr="007219B2" w:rsidRDefault="00D56299" w:rsidP="00D56299">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2932F7D" w14:textId="77777777" w:rsidR="00D56299" w:rsidRPr="007219B2" w:rsidRDefault="00D56299" w:rsidP="00D56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3919D88" w14:textId="77777777" w:rsidR="00D56299" w:rsidRPr="00272B54" w:rsidRDefault="00D56299" w:rsidP="00D5629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455636B" w14:textId="77777777" w:rsidR="00D56299" w:rsidRDefault="00D56299" w:rsidP="00D56299">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4AD3C0D5" w14:textId="77777777" w:rsidR="00D56299" w:rsidRDefault="00D56299" w:rsidP="00D5629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024FCFE2" w14:textId="77777777" w:rsidR="00D56299" w:rsidRPr="004A4A05" w:rsidRDefault="00D56299" w:rsidP="00D56299">
      <w:pPr>
        <w:spacing w:after="200"/>
        <w:ind w:left="360"/>
        <w:rPr>
          <w:rFonts w:ascii="Cambria" w:eastAsia="Arial" w:hAnsi="Cambria" w:cs="Arial"/>
          <w:color w:val="000000"/>
          <w:szCs w:val="22"/>
          <w:lang w:eastAsia="ja-JP"/>
        </w:rPr>
      </w:pPr>
    </w:p>
    <w:p w14:paraId="389997BA" w14:textId="77777777" w:rsidR="00D56299" w:rsidRPr="00983BFF" w:rsidRDefault="00D56299" w:rsidP="00D56299">
      <w:pPr>
        <w:numPr>
          <w:ilvl w:val="0"/>
          <w:numId w:val="17"/>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983BFF">
        <w:rPr>
          <w:rFonts w:ascii="Cambria" w:eastAsia="Arial" w:hAnsi="Cambria" w:cs="Arial"/>
          <w:b/>
          <w:color w:val="000000"/>
          <w:szCs w:val="22"/>
          <w:lang w:eastAsia="ja-JP"/>
        </w:rPr>
        <w:lastRenderedPageBreak/>
        <w:t>Internationalized Domain Names (IDNs)</w:t>
      </w:r>
    </w:p>
    <w:p w14:paraId="775E8712" w14:textId="77777777" w:rsidR="00D56299" w:rsidRPr="00983BFF" w:rsidRDefault="00D56299" w:rsidP="00D56299">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070A8D7" w14:textId="77777777" w:rsidR="00D56299" w:rsidRPr="00983BFF" w:rsidRDefault="00D56299" w:rsidP="00D56299">
      <w:pPr>
        <w:numPr>
          <w:ilvl w:val="1"/>
          <w:numId w:val="17"/>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7D09F7C6" w14:textId="77777777" w:rsidR="00D56299" w:rsidRPr="007328EB" w:rsidRDefault="00D56299" w:rsidP="00D56299">
      <w:pPr>
        <w:numPr>
          <w:ilvl w:val="1"/>
          <w:numId w:val="17"/>
        </w:numPr>
        <w:spacing w:after="200"/>
        <w:ind w:left="1152"/>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02736590" w14:textId="77777777" w:rsidR="00D56299" w:rsidRPr="007328EB" w:rsidRDefault="00D56299" w:rsidP="00D56299">
      <w:pPr>
        <w:numPr>
          <w:ilvl w:val="2"/>
          <w:numId w:val="17"/>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200C0348" w14:textId="77777777" w:rsidR="00D56299" w:rsidRPr="007328EB" w:rsidRDefault="00D56299" w:rsidP="00D56299">
      <w:pPr>
        <w:numPr>
          <w:ilvl w:val="2"/>
          <w:numId w:val="17"/>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07E69CF5" w14:textId="77777777" w:rsidR="00D56299" w:rsidRDefault="00D56299" w:rsidP="00D56299">
      <w:pPr>
        <w:numPr>
          <w:ilvl w:val="2"/>
          <w:numId w:val="17"/>
        </w:numPr>
        <w:spacing w:after="200"/>
        <w:ind w:left="1584"/>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3520052C" w14:textId="77777777" w:rsidR="00D56299" w:rsidRPr="00983BFF" w:rsidRDefault="00D56299" w:rsidP="00D56299">
      <w:pPr>
        <w:numPr>
          <w:ilvl w:val="1"/>
          <w:numId w:val="17"/>
        </w:numPr>
        <w:spacing w:after="200"/>
        <w:ind w:left="1152"/>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28733C3B" w14:textId="77777777" w:rsidR="00D56299" w:rsidRDefault="00D56299" w:rsidP="00D56299">
      <w:pPr>
        <w:numPr>
          <w:ilvl w:val="2"/>
          <w:numId w:val="17"/>
        </w:numPr>
        <w:spacing w:after="200"/>
        <w:ind w:left="1584"/>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67DA75B4" w14:textId="77777777" w:rsidR="00D56299" w:rsidRPr="007328EB" w:rsidRDefault="00D56299" w:rsidP="00D56299">
      <w:pPr>
        <w:numPr>
          <w:ilvl w:val="2"/>
          <w:numId w:val="17"/>
        </w:numPr>
        <w:spacing w:after="200"/>
        <w:ind w:left="1584"/>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42E2652A" w14:textId="77777777" w:rsidR="00D56299" w:rsidRPr="007328EB" w:rsidRDefault="00D56299" w:rsidP="00D56299">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49BA708" w14:textId="660245C4" w:rsidR="00AE767E" w:rsidRPr="00D71479" w:rsidRDefault="00AA6C8C" w:rsidP="00D71479">
      <w:p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br w:type="page"/>
      </w:r>
    </w:p>
    <w:p w14:paraId="65FD7D8E" w14:textId="77777777" w:rsidR="00A4206F" w:rsidRDefault="00A4206F" w:rsidP="00A4206F"/>
    <w:p w14:paraId="42D1908A" w14:textId="178A46B0" w:rsidR="00115B11" w:rsidRPr="00A4206F" w:rsidRDefault="00115B11" w:rsidP="00663551">
      <w:pPr>
        <w:spacing w:before="100" w:beforeAutospacing="1" w:after="100" w:afterAutospacing="1"/>
        <w:rPr>
          <w:rFonts w:asciiTheme="majorHAnsi" w:hAnsiTheme="majorHAnsi"/>
          <w:sz w:val="24"/>
          <w:szCs w:val="24"/>
        </w:rPr>
      </w:pPr>
    </w:p>
    <w:sectPr w:rsidR="00115B11" w:rsidRPr="00A4206F">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C8812" w14:textId="77777777" w:rsidR="00D052E0" w:rsidRDefault="00D052E0">
      <w:pPr>
        <w:pStyle w:val="Footer"/>
      </w:pPr>
    </w:p>
  </w:endnote>
  <w:endnote w:type="continuationSeparator" w:id="0">
    <w:p w14:paraId="6CC584B6" w14:textId="77777777" w:rsidR="00D052E0" w:rsidRDefault="00D052E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ECCCB8F" w:rsidR="00895447" w:rsidRDefault="0089544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95447" w:rsidRDefault="00895447">
    <w:pPr>
      <w:pStyle w:val="Footer"/>
      <w:spacing w:line="200" w:lineRule="exact"/>
      <w:jc w:val="center"/>
    </w:pPr>
    <w:r>
      <w:fldChar w:fldCharType="begin"/>
    </w:r>
    <w:r>
      <w:instrText xml:space="preserve"> PAGE   \* MERGEFORMAT </w:instrText>
    </w:r>
    <w:r>
      <w:fldChar w:fldCharType="separate"/>
    </w:r>
    <w:r w:rsidR="007B3CA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7B3CA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95447" w:rsidRDefault="00895447">
    <w:pPr>
      <w:pStyle w:val="Footer"/>
      <w:spacing w:line="200" w:lineRule="exact"/>
      <w:jc w:val="center"/>
    </w:pPr>
    <w:r>
      <w:fldChar w:fldCharType="begin"/>
    </w:r>
    <w:r>
      <w:instrText xml:space="preserve"> PAGE   \* MERGEFORMAT </w:instrText>
    </w:r>
    <w:r>
      <w:fldChar w:fldCharType="separate"/>
    </w:r>
    <w:r w:rsidR="007B3CA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7B3CA4">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7B3CA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95447" w:rsidRDefault="0089544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7B3CA4">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95447" w:rsidRDefault="00895447">
    <w:pPr>
      <w:pStyle w:val="Footer"/>
      <w:spacing w:line="200" w:lineRule="exact"/>
      <w:jc w:val="center"/>
    </w:pPr>
    <w:r>
      <w:fldChar w:fldCharType="begin"/>
    </w:r>
    <w:r>
      <w:instrText xml:space="preserve"> PAGE   \* MERGEFORMAT </w:instrText>
    </w:r>
    <w:r>
      <w:fldChar w:fldCharType="separate"/>
    </w:r>
    <w:r w:rsidR="007B3CA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95447" w:rsidRDefault="00895447">
    <w:pPr>
      <w:pStyle w:val="Footer"/>
      <w:tabs>
        <w:tab w:val="clear" w:pos="4680"/>
      </w:tabs>
      <w:spacing w:line="200" w:lineRule="exact"/>
      <w:jc w:val="center"/>
    </w:pPr>
  </w:p>
  <w:p w14:paraId="4A3D38B9"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7B3CA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7B3CA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95447" w:rsidRDefault="00895447">
    <w:pPr>
      <w:pStyle w:val="Footer"/>
      <w:spacing w:line="200" w:lineRule="exact"/>
      <w:jc w:val="center"/>
    </w:pPr>
    <w:r>
      <w:fldChar w:fldCharType="begin"/>
    </w:r>
    <w:r>
      <w:instrText xml:space="preserve"> PAGE   \* MERGEFORMAT </w:instrText>
    </w:r>
    <w:r>
      <w:fldChar w:fldCharType="separate"/>
    </w:r>
    <w:r w:rsidR="007B3CA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95447" w:rsidRDefault="00895447">
    <w:pPr>
      <w:pStyle w:val="Footer"/>
      <w:spacing w:line="200" w:lineRule="exact"/>
      <w:jc w:val="center"/>
    </w:pPr>
    <w:r>
      <w:fldChar w:fldCharType="begin"/>
    </w:r>
    <w:r>
      <w:instrText xml:space="preserve"> PAGE   \* MERGEFORMAT </w:instrText>
    </w:r>
    <w:r>
      <w:fldChar w:fldCharType="separate"/>
    </w:r>
    <w:r w:rsidR="007B3CA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7B3CA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7B3CA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A04D7" w14:textId="77777777" w:rsidR="00D052E0" w:rsidRDefault="00D052E0">
      <w:r>
        <w:separator/>
      </w:r>
    </w:p>
  </w:footnote>
  <w:footnote w:type="continuationSeparator" w:id="0">
    <w:p w14:paraId="7CC3A4A9" w14:textId="77777777" w:rsidR="00D052E0" w:rsidRDefault="00D05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95447" w:rsidRPr="00196B78" w:rsidRDefault="00895447"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95447" w:rsidRDefault="008954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95447" w:rsidRDefault="00895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95447" w:rsidRDefault="0089544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95447" w:rsidRDefault="008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95447" w:rsidRDefault="0089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95447" w:rsidRDefault="0089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95447" w:rsidRDefault="00895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95447" w:rsidRDefault="00895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95447" w:rsidRDefault="008954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95447" w:rsidRDefault="008954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95447" w:rsidRDefault="00895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95447" w:rsidRDefault="008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265F2"/>
    <w:multiLevelType w:val="hybridMultilevel"/>
    <w:tmpl w:val="3C585E06"/>
    <w:lvl w:ilvl="0" w:tplc="04209B96">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1">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6"/>
  </w:num>
  <w:num w:numId="13">
    <w:abstractNumId w:val="15"/>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17"/>
  </w:num>
  <w:num w:numId="19">
    <w:abstractNumId w:val="34"/>
  </w:num>
  <w:num w:numId="20">
    <w:abstractNumId w:val="12"/>
  </w:num>
  <w:num w:numId="21">
    <w:abstractNumId w:val="10"/>
  </w:num>
  <w:num w:numId="22">
    <w:abstractNumId w:val="28"/>
  </w:num>
  <w:num w:numId="23">
    <w:abstractNumId w:val="35"/>
  </w:num>
  <w:num w:numId="24">
    <w:abstractNumId w:val="42"/>
  </w:num>
  <w:num w:numId="25">
    <w:abstractNumId w:val="37"/>
  </w:num>
  <w:num w:numId="26">
    <w:abstractNumId w:val="21"/>
  </w:num>
  <w:num w:numId="27">
    <w:abstractNumId w:val="19"/>
  </w:num>
  <w:num w:numId="28">
    <w:abstractNumId w:val="29"/>
  </w:num>
  <w:num w:numId="29">
    <w:abstractNumId w:val="13"/>
  </w:num>
  <w:num w:numId="30">
    <w:abstractNumId w:val="32"/>
  </w:num>
  <w:num w:numId="31">
    <w:abstractNumId w:val="33"/>
  </w:num>
  <w:num w:numId="32">
    <w:abstractNumId w:val="14"/>
  </w:num>
  <w:num w:numId="33">
    <w:abstractNumId w:val="38"/>
  </w:num>
  <w:num w:numId="34">
    <w:abstractNumId w:val="31"/>
  </w:num>
  <w:num w:numId="35">
    <w:abstractNumId w:val="23"/>
  </w:num>
  <w:num w:numId="36">
    <w:abstractNumId w:val="25"/>
  </w:num>
  <w:num w:numId="37">
    <w:abstractNumId w:val="30"/>
  </w:num>
  <w:num w:numId="38">
    <w:abstractNumId w:val="41"/>
  </w:num>
  <w:num w:numId="39">
    <w:abstractNumId w:val="39"/>
  </w:num>
  <w:num w:numId="40">
    <w:abstractNumId w:val="24"/>
  </w:num>
  <w:num w:numId="41">
    <w:abstractNumId w:val="27"/>
  </w:num>
  <w:num w:numId="42">
    <w:abstractNumId w:val="22"/>
  </w:num>
  <w:num w:numId="43">
    <w:abstractNumId w:val="43"/>
  </w:num>
  <w:num w:numId="44">
    <w:abstractNumId w:val="18"/>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R3aKVPbpI2T7tKtrh1JOfNCGHF2XrGXRepzMdrJNpSmvR6exNbttZmGrfCzMmSZvBSgzwB8aY2kOYN54HIJf6A==" w:salt="MAAw1BLegERsoG5pBocje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40705"/>
    <w:rsid w:val="00042592"/>
    <w:rsid w:val="00050123"/>
    <w:rsid w:val="00052311"/>
    <w:rsid w:val="00062FC0"/>
    <w:rsid w:val="00081377"/>
    <w:rsid w:val="00081ADD"/>
    <w:rsid w:val="00090532"/>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60A6"/>
    <w:rsid w:val="001507D4"/>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12D23"/>
    <w:rsid w:val="00216511"/>
    <w:rsid w:val="00222FBB"/>
    <w:rsid w:val="00237CA6"/>
    <w:rsid w:val="00245175"/>
    <w:rsid w:val="00252400"/>
    <w:rsid w:val="0025649E"/>
    <w:rsid w:val="00260FB1"/>
    <w:rsid w:val="00272B69"/>
    <w:rsid w:val="0027428A"/>
    <w:rsid w:val="002863DA"/>
    <w:rsid w:val="002A1D59"/>
    <w:rsid w:val="002C51E1"/>
    <w:rsid w:val="002C636B"/>
    <w:rsid w:val="002D622A"/>
    <w:rsid w:val="002E01B5"/>
    <w:rsid w:val="002E3D5E"/>
    <w:rsid w:val="002E3E8C"/>
    <w:rsid w:val="00305191"/>
    <w:rsid w:val="003248F3"/>
    <w:rsid w:val="00324F4B"/>
    <w:rsid w:val="003332AC"/>
    <w:rsid w:val="0036015B"/>
    <w:rsid w:val="0036383B"/>
    <w:rsid w:val="00370DB8"/>
    <w:rsid w:val="00373C38"/>
    <w:rsid w:val="00386E25"/>
    <w:rsid w:val="003A593D"/>
    <w:rsid w:val="003A5CA7"/>
    <w:rsid w:val="003A787B"/>
    <w:rsid w:val="003B1CB6"/>
    <w:rsid w:val="003C6D41"/>
    <w:rsid w:val="003C706C"/>
    <w:rsid w:val="003C7D22"/>
    <w:rsid w:val="003F1ECD"/>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21A25"/>
    <w:rsid w:val="00524974"/>
    <w:rsid w:val="00526545"/>
    <w:rsid w:val="005332B6"/>
    <w:rsid w:val="005369CB"/>
    <w:rsid w:val="00550AB1"/>
    <w:rsid w:val="005539BD"/>
    <w:rsid w:val="00563A93"/>
    <w:rsid w:val="0057179C"/>
    <w:rsid w:val="005B3477"/>
    <w:rsid w:val="005B51C0"/>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81525"/>
    <w:rsid w:val="007A5548"/>
    <w:rsid w:val="007A729A"/>
    <w:rsid w:val="007B0099"/>
    <w:rsid w:val="007B3CA4"/>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95447"/>
    <w:rsid w:val="008A0641"/>
    <w:rsid w:val="008B57C3"/>
    <w:rsid w:val="008C28FD"/>
    <w:rsid w:val="008C3D66"/>
    <w:rsid w:val="008C794F"/>
    <w:rsid w:val="008D246B"/>
    <w:rsid w:val="008D52DC"/>
    <w:rsid w:val="008D56C0"/>
    <w:rsid w:val="0090355B"/>
    <w:rsid w:val="009047FD"/>
    <w:rsid w:val="00906238"/>
    <w:rsid w:val="00911CB4"/>
    <w:rsid w:val="00913888"/>
    <w:rsid w:val="00914FB0"/>
    <w:rsid w:val="009152C8"/>
    <w:rsid w:val="00916F65"/>
    <w:rsid w:val="009208C3"/>
    <w:rsid w:val="00921A01"/>
    <w:rsid w:val="00925998"/>
    <w:rsid w:val="00934DEB"/>
    <w:rsid w:val="00962163"/>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34BF8"/>
    <w:rsid w:val="00A4206F"/>
    <w:rsid w:val="00A729D4"/>
    <w:rsid w:val="00A84F95"/>
    <w:rsid w:val="00A95556"/>
    <w:rsid w:val="00AA2AAA"/>
    <w:rsid w:val="00AA6C8C"/>
    <w:rsid w:val="00AB023D"/>
    <w:rsid w:val="00AE03BC"/>
    <w:rsid w:val="00AE767E"/>
    <w:rsid w:val="00AF450B"/>
    <w:rsid w:val="00B06075"/>
    <w:rsid w:val="00B102EA"/>
    <w:rsid w:val="00B121BB"/>
    <w:rsid w:val="00B30B6E"/>
    <w:rsid w:val="00B41367"/>
    <w:rsid w:val="00B526A7"/>
    <w:rsid w:val="00B615D3"/>
    <w:rsid w:val="00B651C0"/>
    <w:rsid w:val="00B8520C"/>
    <w:rsid w:val="00B85F7D"/>
    <w:rsid w:val="00B912E6"/>
    <w:rsid w:val="00B9308D"/>
    <w:rsid w:val="00B93D8D"/>
    <w:rsid w:val="00BA06CF"/>
    <w:rsid w:val="00BC0CA9"/>
    <w:rsid w:val="00BC2603"/>
    <w:rsid w:val="00BD061B"/>
    <w:rsid w:val="00BD12C3"/>
    <w:rsid w:val="00BE2B17"/>
    <w:rsid w:val="00BE2B6E"/>
    <w:rsid w:val="00BE5F46"/>
    <w:rsid w:val="00BE6979"/>
    <w:rsid w:val="00BE6A25"/>
    <w:rsid w:val="00BF4062"/>
    <w:rsid w:val="00BF6BB4"/>
    <w:rsid w:val="00BF6C88"/>
    <w:rsid w:val="00C028B2"/>
    <w:rsid w:val="00C05AAE"/>
    <w:rsid w:val="00C12A27"/>
    <w:rsid w:val="00C15FA2"/>
    <w:rsid w:val="00C17A3D"/>
    <w:rsid w:val="00C403F0"/>
    <w:rsid w:val="00C43792"/>
    <w:rsid w:val="00C446F3"/>
    <w:rsid w:val="00C4778C"/>
    <w:rsid w:val="00C515A6"/>
    <w:rsid w:val="00C74E4E"/>
    <w:rsid w:val="00C805FD"/>
    <w:rsid w:val="00C855A9"/>
    <w:rsid w:val="00CA1F72"/>
    <w:rsid w:val="00CA605F"/>
    <w:rsid w:val="00CB6CEA"/>
    <w:rsid w:val="00CD5E41"/>
    <w:rsid w:val="00CE1F2F"/>
    <w:rsid w:val="00CE43E3"/>
    <w:rsid w:val="00CF4561"/>
    <w:rsid w:val="00D052E0"/>
    <w:rsid w:val="00D10D4C"/>
    <w:rsid w:val="00D11589"/>
    <w:rsid w:val="00D156D6"/>
    <w:rsid w:val="00D26971"/>
    <w:rsid w:val="00D433D7"/>
    <w:rsid w:val="00D56299"/>
    <w:rsid w:val="00D6495C"/>
    <w:rsid w:val="00D67795"/>
    <w:rsid w:val="00D71479"/>
    <w:rsid w:val="00D855A0"/>
    <w:rsid w:val="00D960AC"/>
    <w:rsid w:val="00DB2653"/>
    <w:rsid w:val="00DB5287"/>
    <w:rsid w:val="00DC0ADF"/>
    <w:rsid w:val="00DC634A"/>
    <w:rsid w:val="00DC7502"/>
    <w:rsid w:val="00DD572E"/>
    <w:rsid w:val="00DD687D"/>
    <w:rsid w:val="00DD6905"/>
    <w:rsid w:val="00DF10CF"/>
    <w:rsid w:val="00E02F2A"/>
    <w:rsid w:val="00E1020A"/>
    <w:rsid w:val="00E17C76"/>
    <w:rsid w:val="00E24CA0"/>
    <w:rsid w:val="00E2581E"/>
    <w:rsid w:val="00E26CAE"/>
    <w:rsid w:val="00E305BF"/>
    <w:rsid w:val="00E36AB4"/>
    <w:rsid w:val="00E47BB5"/>
    <w:rsid w:val="00E57EA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45090"/>
    <w:rsid w:val="00F530FF"/>
    <w:rsid w:val="00F62F24"/>
    <w:rsid w:val="00F67B35"/>
    <w:rsid w:val="00F75512"/>
    <w:rsid w:val="00F7647C"/>
    <w:rsid w:val="00F86538"/>
    <w:rsid w:val="00F91324"/>
    <w:rsid w:val="00F947F6"/>
    <w:rsid w:val="00F96101"/>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2.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yperlink" Target="http://www.icann.org/en/resources/registries/pddr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32991</Words>
  <Characters>188054</Characters>
  <Application>Microsoft Office Word</Application>
  <DocSecurity>8</DocSecurity>
  <Lines>1567</Lines>
  <Paragraphs>441</Paragraphs>
  <ScaleCrop>false</ScaleCrop>
  <Manager/>
  <Company/>
  <LinksUpToDate>false</LinksUpToDate>
  <CharactersWithSpaces>220604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2014-11-24T18:44:00Z</dcterms:created>
  <dcterms:modified xsi:type="dcterms:W3CDTF">2014-11-24T18:45:00Z</dcterms:modified>
  <cp:contentStatus/>
</cp:coreProperties>
</file>